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72A70" w14:textId="77777777" w:rsidR="009D50B5" w:rsidRPr="00285A46" w:rsidRDefault="00F42239" w:rsidP="009D50B5">
      <w:pPr>
        <w:spacing w:after="0" w:line="240" w:lineRule="auto"/>
        <w:jc w:val="center"/>
        <w:rPr>
          <w:rFonts w:ascii="Times New Roman" w:hAnsi="Times New Roman" w:cs="Times New Roman"/>
          <w:b/>
          <w:sz w:val="24"/>
          <w:szCs w:val="24"/>
        </w:rPr>
      </w:pPr>
      <w:r w:rsidRPr="00285A46">
        <w:rPr>
          <w:rFonts w:ascii="Times New Roman" w:hAnsi="Times New Roman" w:cs="Times New Roman"/>
          <w:b/>
          <w:sz w:val="24"/>
          <w:szCs w:val="24"/>
        </w:rPr>
        <w:t>Перечень изменений,</w:t>
      </w:r>
      <w:r w:rsidRPr="00285A46">
        <w:rPr>
          <w:rFonts w:ascii="Times New Roman" w:hAnsi="Times New Roman" w:cs="Times New Roman"/>
          <w:b/>
          <w:sz w:val="24"/>
          <w:szCs w:val="24"/>
        </w:rPr>
        <w:br/>
        <w:t>внесенных в Единое положение о закупке Государственной корпорации «Ростех»,</w:t>
      </w:r>
      <w:r w:rsidRPr="00285A46">
        <w:rPr>
          <w:rFonts w:ascii="Times New Roman" w:hAnsi="Times New Roman" w:cs="Times New Roman"/>
          <w:b/>
          <w:sz w:val="24"/>
          <w:szCs w:val="24"/>
        </w:rPr>
        <w:br/>
      </w:r>
      <w:r w:rsidR="003B79EE" w:rsidRPr="00285A46">
        <w:rPr>
          <w:rFonts w:ascii="Times New Roman" w:hAnsi="Times New Roman" w:cs="Times New Roman"/>
          <w:b/>
          <w:sz w:val="24"/>
          <w:szCs w:val="24"/>
        </w:rPr>
        <w:t>утвержденных</w:t>
      </w:r>
      <w:r w:rsidR="00AE69CE" w:rsidRPr="00285A46">
        <w:rPr>
          <w:rFonts w:ascii="Times New Roman" w:hAnsi="Times New Roman" w:cs="Times New Roman"/>
          <w:b/>
          <w:sz w:val="24"/>
          <w:szCs w:val="24"/>
        </w:rPr>
        <w:t xml:space="preserve"> решениями Наблюдательного совета Государственной корпорации «Ростех» от 23 декабря 2015 г. №9, от 17 марта 2016 г. №2, от «15» июня 2016 г. №7</w:t>
      </w:r>
      <w:r w:rsidR="003F0499" w:rsidRPr="00285A46">
        <w:rPr>
          <w:rFonts w:ascii="Times New Roman" w:hAnsi="Times New Roman" w:cs="Times New Roman"/>
          <w:b/>
          <w:sz w:val="24"/>
          <w:szCs w:val="24"/>
        </w:rPr>
        <w:t xml:space="preserve">, </w:t>
      </w:r>
    </w:p>
    <w:p w14:paraId="05B7B2C5" w14:textId="2A2381F5" w:rsidR="00AE69CE" w:rsidRPr="00285A46" w:rsidRDefault="003F0499" w:rsidP="009D50B5">
      <w:pPr>
        <w:spacing w:after="0" w:line="240" w:lineRule="auto"/>
        <w:jc w:val="center"/>
        <w:rPr>
          <w:rFonts w:ascii="Times New Roman" w:hAnsi="Times New Roman" w:cs="Times New Roman"/>
          <w:b/>
          <w:sz w:val="24"/>
          <w:szCs w:val="24"/>
        </w:rPr>
      </w:pPr>
      <w:r w:rsidRPr="00285A46">
        <w:rPr>
          <w:rFonts w:ascii="Times New Roman" w:hAnsi="Times New Roman" w:cs="Times New Roman"/>
          <w:b/>
          <w:sz w:val="24"/>
          <w:szCs w:val="24"/>
        </w:rPr>
        <w:t>от 11 октября 2016 г. №11</w:t>
      </w:r>
      <w:r w:rsidR="00CA5D33" w:rsidRPr="00285A46">
        <w:rPr>
          <w:rFonts w:ascii="Times New Roman" w:hAnsi="Times New Roman" w:cs="Times New Roman"/>
          <w:b/>
          <w:sz w:val="24"/>
          <w:szCs w:val="24"/>
        </w:rPr>
        <w:t xml:space="preserve">, от </w:t>
      </w:r>
      <w:r w:rsidR="00FD3B1F" w:rsidRPr="00285A46">
        <w:rPr>
          <w:rFonts w:ascii="Times New Roman" w:hAnsi="Times New Roman" w:cs="Times New Roman"/>
          <w:b/>
          <w:sz w:val="24"/>
          <w:szCs w:val="24"/>
        </w:rPr>
        <w:t xml:space="preserve">15 </w:t>
      </w:r>
      <w:r w:rsidR="00CA5D33" w:rsidRPr="00285A46">
        <w:rPr>
          <w:rFonts w:ascii="Times New Roman" w:hAnsi="Times New Roman" w:cs="Times New Roman"/>
          <w:b/>
          <w:sz w:val="24"/>
          <w:szCs w:val="24"/>
        </w:rPr>
        <w:t xml:space="preserve">декабря 2016 г. № </w:t>
      </w:r>
      <w:r w:rsidR="00FD3B1F" w:rsidRPr="00285A46">
        <w:rPr>
          <w:rFonts w:ascii="Times New Roman" w:hAnsi="Times New Roman" w:cs="Times New Roman"/>
          <w:b/>
          <w:sz w:val="24"/>
          <w:szCs w:val="24"/>
        </w:rPr>
        <w:t>14</w:t>
      </w:r>
      <w:r w:rsidR="00B5745C">
        <w:rPr>
          <w:rFonts w:ascii="Times New Roman" w:hAnsi="Times New Roman" w:cs="Times New Roman"/>
          <w:b/>
          <w:sz w:val="24"/>
          <w:szCs w:val="24"/>
        </w:rPr>
        <w:t>, от 23 декабря 2016 г. № 15</w:t>
      </w:r>
      <w:r w:rsidR="00AE69CE" w:rsidRPr="00285A46">
        <w:rPr>
          <w:rFonts w:ascii="Times New Roman" w:hAnsi="Times New Roman" w:cs="Times New Roman"/>
          <w:b/>
          <w:sz w:val="24"/>
          <w:szCs w:val="24"/>
        </w:rPr>
        <w:t>)</w:t>
      </w:r>
    </w:p>
    <w:p w14:paraId="7351DA93" w14:textId="77777777" w:rsidR="00AE69CE" w:rsidRPr="00285A46" w:rsidRDefault="00AE69CE" w:rsidP="00990FA1">
      <w:pPr>
        <w:spacing w:before="120" w:after="0" w:line="240" w:lineRule="auto"/>
        <w:ind w:firstLine="567"/>
        <w:jc w:val="center"/>
        <w:rPr>
          <w:rFonts w:ascii="Times New Roman" w:hAnsi="Times New Roman" w:cs="Times New Roman"/>
          <w:b/>
          <w:sz w:val="24"/>
          <w:szCs w:val="24"/>
        </w:rPr>
      </w:pPr>
    </w:p>
    <w:p w14:paraId="6DF37054" w14:textId="3BACB630" w:rsidR="00CA5D33" w:rsidRPr="00285A46" w:rsidRDefault="00CA5D33"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Дополнить раздел «СОКРАЩЕНИЯ» Единого Положения о закупке Государственной корпорации «Ростех» </w:t>
      </w:r>
      <w:r w:rsidR="00990FA1" w:rsidRPr="00285A46">
        <w:rPr>
          <w:rFonts w:ascii="Times New Roman" w:hAnsi="Times New Roman" w:cs="Times New Roman"/>
          <w:b w:val="0"/>
          <w:sz w:val="24"/>
          <w:szCs w:val="24"/>
        </w:rPr>
        <w:t xml:space="preserve">(далее – Положение о закупке) </w:t>
      </w:r>
      <w:r w:rsidRPr="00285A46">
        <w:rPr>
          <w:rFonts w:ascii="Times New Roman" w:hAnsi="Times New Roman" w:cs="Times New Roman"/>
          <w:b w:val="0"/>
          <w:sz w:val="24"/>
          <w:szCs w:val="24"/>
        </w:rPr>
        <w:t>следующим сокращением:</w:t>
      </w:r>
    </w:p>
    <w:p w14:paraId="0D6ACAC9" w14:textId="082AC033" w:rsidR="0095282A" w:rsidRPr="00285A46" w:rsidRDefault="00CA5D33" w:rsidP="00990FA1">
      <w:pPr>
        <w:pStyle w:val="5"/>
        <w:numPr>
          <w:ilvl w:val="0"/>
          <w:numId w:val="0"/>
        </w:numPr>
        <w:ind w:firstLine="567"/>
        <w:rPr>
          <w:rFonts w:ascii="Times New Roman" w:hAnsi="Times New Roman"/>
          <w:sz w:val="24"/>
          <w:szCs w:val="24"/>
        </w:rPr>
      </w:pPr>
      <w:r w:rsidRPr="00285A46">
        <w:rPr>
          <w:rFonts w:ascii="Times New Roman" w:hAnsi="Times New Roman"/>
          <w:sz w:val="24"/>
          <w:szCs w:val="24"/>
        </w:rPr>
        <w:t>«ПП 925 – постановление Правительства Российской Федерации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92EF00" w14:textId="77777777" w:rsidR="00CA5D33" w:rsidRPr="00285A46" w:rsidRDefault="00CA5D33" w:rsidP="00990FA1">
      <w:pPr>
        <w:pStyle w:val="ConsPlusTitle"/>
        <w:spacing w:line="276" w:lineRule="auto"/>
        <w:ind w:firstLine="567"/>
        <w:jc w:val="both"/>
        <w:rPr>
          <w:rFonts w:ascii="Proxima Nova ExCn Rg" w:hAnsi="Proxima Nova ExCn Rg" w:cs="Arial"/>
          <w:b w:val="0"/>
          <w:sz w:val="28"/>
          <w:szCs w:val="28"/>
        </w:rPr>
      </w:pPr>
    </w:p>
    <w:p w14:paraId="23CCE8F9" w14:textId="6BD6181E" w:rsidR="00CA5D33" w:rsidRPr="00285A46" w:rsidRDefault="00CA5D33"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Дополнить раздел «ТЕРМИНЫ И ОПРЕДЕЛЕНИЯ» Положения о закупке следующими понятиями:</w:t>
      </w:r>
    </w:p>
    <w:p w14:paraId="69C29865" w14:textId="32DFAAB5"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«Лизинг – совокупность экономических и правовых отношений, возникающих в связи с реализацией договора лизинга, в том числе</w:t>
      </w:r>
      <w:r w:rsidR="004A258E" w:rsidRPr="00285A46">
        <w:rPr>
          <w:rFonts w:ascii="Times New Roman" w:hAnsi="Times New Roman" w:cs="Times New Roman"/>
          <w:b w:val="0"/>
          <w:sz w:val="24"/>
          <w:szCs w:val="24"/>
        </w:rPr>
        <w:t xml:space="preserve"> приобретением предмета лизинга.</w:t>
      </w:r>
    </w:p>
    <w:p w14:paraId="0DB79865" w14:textId="49A4AD35" w:rsidR="004A258E" w:rsidRPr="00285A46" w:rsidRDefault="004A258E"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Лизинговая компания (фирма)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66B35684" w14:textId="0043A437"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Предмет лизинга – товары, приобретаемые по договору купли-продажи (поставки), заключаемому для реализации договора финансовой аренды (лизинг</w:t>
      </w:r>
      <w:r w:rsidR="004A258E" w:rsidRPr="00285A46">
        <w:rPr>
          <w:rFonts w:ascii="Times New Roman" w:hAnsi="Times New Roman" w:cs="Times New Roman"/>
          <w:b w:val="0"/>
          <w:sz w:val="24"/>
          <w:szCs w:val="24"/>
        </w:rPr>
        <w:t>а).</w:t>
      </w:r>
    </w:p>
    <w:p w14:paraId="2127E886" w14:textId="3DFF7EA3"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Приоритет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r w:rsidR="004A258E" w:rsidRPr="00285A46">
        <w:rPr>
          <w:rFonts w:ascii="Times New Roman" w:hAnsi="Times New Roman" w:cs="Times New Roman"/>
          <w:b w:val="0"/>
          <w:sz w:val="24"/>
          <w:szCs w:val="24"/>
        </w:rPr>
        <w:t>.</w:t>
      </w:r>
      <w:r w:rsidRPr="00285A46">
        <w:rPr>
          <w:rFonts w:ascii="Times New Roman" w:hAnsi="Times New Roman" w:cs="Times New Roman"/>
          <w:b w:val="0"/>
          <w:sz w:val="24"/>
          <w:szCs w:val="24"/>
        </w:rPr>
        <w:t>»;</w:t>
      </w:r>
    </w:p>
    <w:p w14:paraId="5601A0EF" w14:textId="77777777"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p>
    <w:p w14:paraId="5F821BC6" w14:textId="5668FB15" w:rsidR="00CA5D33" w:rsidRPr="00285A46" w:rsidRDefault="00CA5D33"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разделе «ТЕРМИНЫ И ОПРЕДЕЛЕНИЯ» Положения о закупке термин «Техническая политика» изложить в следующей редакции:</w:t>
      </w:r>
    </w:p>
    <w:p w14:paraId="2D641A6A" w14:textId="77777777"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«Техническая политика – документ, утвержденный правовым актом заказчика и размещенный на официальном сайте заказчика, определяющий требования к производственному процессу и / или к инфраструктурному виду деятельности.</w:t>
      </w:r>
    </w:p>
    <w:p w14:paraId="74562A86" w14:textId="77777777"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Техническая политика 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отношении производственного процесса до ее утверждения должна быть согласована с научно-техническим советом заказчика.</w:t>
      </w:r>
    </w:p>
    <w:p w14:paraId="1787DBC0" w14:textId="6D1B3E4B" w:rsidR="00CA5D33" w:rsidRPr="00285A46" w:rsidRDefault="00CA5D33"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Техническая политика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w:t>
      </w:r>
      <w:r w:rsidR="00990FA1" w:rsidRPr="00285A46">
        <w:rPr>
          <w:rFonts w:ascii="Times New Roman" w:hAnsi="Times New Roman" w:cs="Times New Roman"/>
          <w:b w:val="0"/>
          <w:sz w:val="24"/>
          <w:szCs w:val="24"/>
        </w:rPr>
        <w:t>нному правовым актом Корпорации</w:t>
      </w:r>
      <w:r w:rsidRPr="00285A46">
        <w:rPr>
          <w:rFonts w:ascii="Times New Roman" w:hAnsi="Times New Roman" w:cs="Times New Roman"/>
          <w:b w:val="0"/>
          <w:sz w:val="24"/>
          <w:szCs w:val="24"/>
        </w:rPr>
        <w:t>»</w:t>
      </w:r>
      <w:r w:rsidR="00990FA1" w:rsidRPr="00285A46">
        <w:rPr>
          <w:rFonts w:ascii="Times New Roman" w:hAnsi="Times New Roman" w:cs="Times New Roman"/>
          <w:b w:val="0"/>
          <w:sz w:val="24"/>
          <w:szCs w:val="24"/>
        </w:rPr>
        <w:t>;</w:t>
      </w:r>
    </w:p>
    <w:p w14:paraId="78FF16D1" w14:textId="77777777" w:rsidR="00990FA1" w:rsidRPr="00285A46" w:rsidRDefault="00990FA1" w:rsidP="00990FA1">
      <w:pPr>
        <w:pStyle w:val="ConsPlusTitle"/>
        <w:spacing w:line="276" w:lineRule="auto"/>
        <w:ind w:firstLine="567"/>
        <w:jc w:val="both"/>
        <w:rPr>
          <w:rFonts w:ascii="Times New Roman" w:hAnsi="Times New Roman" w:cs="Times New Roman"/>
          <w:b w:val="0"/>
          <w:sz w:val="24"/>
          <w:szCs w:val="24"/>
        </w:rPr>
      </w:pPr>
    </w:p>
    <w:p w14:paraId="79789C1D" w14:textId="20405977"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5.2.3(3) Положения о закупке вместо слов «6.6.2(43)» читать «6.6.2(4</w:t>
      </w:r>
      <w:r w:rsidR="00E34764" w:rsidRPr="00285A46">
        <w:rPr>
          <w:rFonts w:ascii="Times New Roman" w:hAnsi="Times New Roman" w:cs="Times New Roman"/>
          <w:b w:val="0"/>
          <w:sz w:val="24"/>
          <w:szCs w:val="24"/>
        </w:rPr>
        <w:t>7</w:t>
      </w:r>
      <w:r w:rsidRPr="00285A46">
        <w:rPr>
          <w:rFonts w:ascii="Times New Roman" w:hAnsi="Times New Roman" w:cs="Times New Roman"/>
          <w:b w:val="0"/>
          <w:sz w:val="24"/>
          <w:szCs w:val="24"/>
        </w:rPr>
        <w:t>)»;</w:t>
      </w:r>
    </w:p>
    <w:p w14:paraId="2B0C34FC" w14:textId="77777777" w:rsidR="00990FA1" w:rsidRPr="00285A46" w:rsidRDefault="00990FA1" w:rsidP="00990FA1">
      <w:pPr>
        <w:pStyle w:val="ConsPlusTitle"/>
        <w:spacing w:line="276" w:lineRule="auto"/>
        <w:ind w:firstLine="567"/>
        <w:jc w:val="both"/>
        <w:rPr>
          <w:rFonts w:ascii="Times New Roman" w:hAnsi="Times New Roman" w:cs="Times New Roman"/>
          <w:b w:val="0"/>
          <w:sz w:val="24"/>
          <w:szCs w:val="24"/>
        </w:rPr>
      </w:pPr>
    </w:p>
    <w:p w14:paraId="1F01C775" w14:textId="3B8FD90F"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5.4.3(3) Положения о закупке вместо слов «6.6.2(43)» читать «6.6.2(4</w:t>
      </w:r>
      <w:r w:rsidR="00E34764" w:rsidRPr="00285A46">
        <w:rPr>
          <w:rFonts w:ascii="Times New Roman" w:hAnsi="Times New Roman" w:cs="Times New Roman"/>
          <w:b w:val="0"/>
          <w:sz w:val="24"/>
          <w:szCs w:val="24"/>
        </w:rPr>
        <w:t>7</w:t>
      </w:r>
      <w:r w:rsidRPr="00285A46">
        <w:rPr>
          <w:rFonts w:ascii="Times New Roman" w:hAnsi="Times New Roman" w:cs="Times New Roman"/>
          <w:b w:val="0"/>
          <w:sz w:val="24"/>
          <w:szCs w:val="24"/>
        </w:rPr>
        <w:t>)»;</w:t>
      </w:r>
    </w:p>
    <w:p w14:paraId="4931B284" w14:textId="77777777" w:rsidR="00990FA1" w:rsidRPr="00285A46" w:rsidRDefault="00990FA1" w:rsidP="00990FA1">
      <w:pPr>
        <w:pStyle w:val="ConsPlusTitle"/>
        <w:spacing w:line="276" w:lineRule="auto"/>
        <w:ind w:firstLine="567"/>
        <w:jc w:val="both"/>
        <w:rPr>
          <w:rFonts w:ascii="Times New Roman" w:hAnsi="Times New Roman" w:cs="Times New Roman"/>
          <w:b w:val="0"/>
          <w:sz w:val="24"/>
          <w:szCs w:val="24"/>
        </w:rPr>
      </w:pPr>
    </w:p>
    <w:p w14:paraId="5409C396" w14:textId="4667833F" w:rsidR="00CA5D33"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bookmarkStart w:id="0" w:name="_Ref442022588"/>
      <w:r w:rsidRPr="00285A46">
        <w:rPr>
          <w:rFonts w:ascii="Times New Roman" w:hAnsi="Times New Roman" w:cs="Times New Roman"/>
          <w:b w:val="0"/>
          <w:sz w:val="24"/>
          <w:szCs w:val="24"/>
        </w:rPr>
        <w:t>Пп. 6.6.2(7) Положения о закупке изложить в новой редакции: «заключается договор между заказчиком, являющимся исполнителем по государственному контракту или по договору с третьим лицом, и привлекаемым для исполнения обязательств по нему субподрядчиком (соисполнителем), который установлен соответствующим государственным контрактом</w:t>
      </w:r>
      <w:r w:rsidRPr="00285A46" w:rsidDel="00A234CF">
        <w:rPr>
          <w:rFonts w:ascii="Times New Roman" w:hAnsi="Times New Roman" w:cs="Times New Roman"/>
          <w:b w:val="0"/>
          <w:sz w:val="24"/>
          <w:szCs w:val="24"/>
        </w:rPr>
        <w:t xml:space="preserve"> </w:t>
      </w:r>
      <w:r w:rsidRPr="00285A46">
        <w:rPr>
          <w:rFonts w:ascii="Times New Roman" w:hAnsi="Times New Roman" w:cs="Times New Roman"/>
          <w:b w:val="0"/>
          <w:sz w:val="24"/>
          <w:szCs w:val="24"/>
        </w:rPr>
        <w:t>или договором с третьим лицом;</w:t>
      </w:r>
      <w:bookmarkEnd w:id="0"/>
      <w:r w:rsidRPr="00285A46">
        <w:rPr>
          <w:rFonts w:ascii="Times New Roman" w:hAnsi="Times New Roman" w:cs="Times New Roman"/>
          <w:b w:val="0"/>
          <w:sz w:val="24"/>
          <w:szCs w:val="24"/>
        </w:rPr>
        <w:t xml:space="preserve"> заключается договор купли-продажи (поставки) предмета лизинга между </w:t>
      </w:r>
      <w:r w:rsidR="00E34764" w:rsidRPr="00285A46">
        <w:rPr>
          <w:rFonts w:ascii="Times New Roman" w:hAnsi="Times New Roman" w:cs="Times New Roman"/>
          <w:b w:val="0"/>
          <w:sz w:val="24"/>
          <w:szCs w:val="24"/>
        </w:rPr>
        <w:t>лизинговой компанией (фирмой), являющейся организацией Корпорации</w:t>
      </w:r>
      <w:r w:rsidRPr="00285A46">
        <w:rPr>
          <w:rFonts w:ascii="Times New Roman" w:hAnsi="Times New Roman" w:cs="Times New Roman"/>
          <w:b w:val="0"/>
          <w:sz w:val="24"/>
          <w:szCs w:val="24"/>
        </w:rPr>
        <w:t>, и поставщиком предмета лизинга, определенным лизингополучателем»;</w:t>
      </w:r>
    </w:p>
    <w:p w14:paraId="14A069E3" w14:textId="77777777"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p>
    <w:p w14:paraId="562245C1" w14:textId="5043CBD1" w:rsidR="00990FA1" w:rsidRPr="00285A46" w:rsidRDefault="00990FA1" w:rsidP="00E34764">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 6.6.2 Положения о закупке дополнить пп. (4</w:t>
      </w:r>
      <w:r w:rsidR="00223109" w:rsidRPr="00285A46">
        <w:rPr>
          <w:rFonts w:ascii="Times New Roman" w:hAnsi="Times New Roman" w:cs="Times New Roman"/>
          <w:b w:val="0"/>
          <w:sz w:val="24"/>
          <w:szCs w:val="24"/>
        </w:rPr>
        <w:t>5</w:t>
      </w:r>
      <w:r w:rsidRPr="00285A46">
        <w:rPr>
          <w:rFonts w:ascii="Times New Roman" w:hAnsi="Times New Roman" w:cs="Times New Roman"/>
          <w:b w:val="0"/>
          <w:sz w:val="24"/>
          <w:szCs w:val="24"/>
        </w:rPr>
        <w:t>), (4</w:t>
      </w:r>
      <w:r w:rsidR="00223109" w:rsidRPr="00285A46">
        <w:rPr>
          <w:rFonts w:ascii="Times New Roman" w:hAnsi="Times New Roman" w:cs="Times New Roman"/>
          <w:b w:val="0"/>
          <w:sz w:val="24"/>
          <w:szCs w:val="24"/>
        </w:rPr>
        <w:t>6</w:t>
      </w:r>
      <w:r w:rsidRPr="00285A46">
        <w:rPr>
          <w:rFonts w:ascii="Times New Roman" w:hAnsi="Times New Roman" w:cs="Times New Roman"/>
          <w:b w:val="0"/>
          <w:sz w:val="24"/>
          <w:szCs w:val="24"/>
        </w:rPr>
        <w:t>), (4</w:t>
      </w:r>
      <w:r w:rsidR="00223109" w:rsidRPr="00285A46">
        <w:rPr>
          <w:rFonts w:ascii="Times New Roman" w:hAnsi="Times New Roman" w:cs="Times New Roman"/>
          <w:b w:val="0"/>
          <w:sz w:val="24"/>
          <w:szCs w:val="24"/>
        </w:rPr>
        <w:t>7</w:t>
      </w:r>
      <w:r w:rsidRPr="00285A46">
        <w:rPr>
          <w:rFonts w:ascii="Times New Roman" w:hAnsi="Times New Roman" w:cs="Times New Roman"/>
          <w:b w:val="0"/>
          <w:sz w:val="24"/>
          <w:szCs w:val="24"/>
        </w:rPr>
        <w:t>) следующего содержания:</w:t>
      </w:r>
    </w:p>
    <w:p w14:paraId="47347601" w14:textId="4786EA0F" w:rsidR="00990FA1" w:rsidRPr="00285A46" w:rsidRDefault="00223109" w:rsidP="00E34764">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«(45</w:t>
      </w:r>
      <w:r w:rsidR="00990FA1" w:rsidRPr="00285A46">
        <w:rPr>
          <w:rFonts w:ascii="Times New Roman" w:hAnsi="Times New Roman" w:cs="Times New Roman"/>
          <w:b w:val="0"/>
          <w:sz w:val="24"/>
          <w:szCs w:val="24"/>
        </w:rPr>
        <w:t>) заключается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w:t>
      </w:r>
    </w:p>
    <w:p w14:paraId="429FDEA7" w14:textId="052DCC40" w:rsidR="00990FA1" w:rsidRPr="00285A46" w:rsidRDefault="00223109" w:rsidP="00E34764">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(46</w:t>
      </w:r>
      <w:r w:rsidR="00990FA1" w:rsidRPr="00285A46">
        <w:rPr>
          <w:rFonts w:ascii="Times New Roman" w:hAnsi="Times New Roman" w:cs="Times New Roman"/>
          <w:b w:val="0"/>
          <w:sz w:val="24"/>
          <w:szCs w:val="24"/>
        </w:rPr>
        <w:t>) заключается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p>
    <w:p w14:paraId="0A2D81CA" w14:textId="4B800834" w:rsidR="00990FA1" w:rsidRPr="00285A46" w:rsidRDefault="00223109" w:rsidP="000960B3">
      <w:pPr>
        <w:pStyle w:val="ConsPlusTitle"/>
        <w:spacing w:line="276" w:lineRule="auto"/>
        <w:ind w:firstLine="567"/>
        <w:jc w:val="both"/>
        <w:rPr>
          <w:rFonts w:ascii="Times New Roman" w:hAnsi="Times New Roman" w:cs="Times New Roman"/>
          <w:b w:val="0"/>
          <w:sz w:val="24"/>
          <w:szCs w:val="24"/>
        </w:rPr>
      </w:pPr>
      <w:bookmarkStart w:id="1" w:name="_Ref468130988"/>
      <w:r w:rsidRPr="00285A46">
        <w:rPr>
          <w:rFonts w:ascii="Times New Roman" w:hAnsi="Times New Roman" w:cs="Times New Roman"/>
          <w:b w:val="0"/>
          <w:sz w:val="24"/>
          <w:szCs w:val="24"/>
        </w:rPr>
        <w:t>(47</w:t>
      </w:r>
      <w:r w:rsidR="00990FA1" w:rsidRPr="00285A46">
        <w:rPr>
          <w:rFonts w:ascii="Times New Roman" w:hAnsi="Times New Roman" w:cs="Times New Roman"/>
          <w:b w:val="0"/>
          <w:sz w:val="24"/>
          <w:szCs w:val="24"/>
        </w:rPr>
        <w:t>) заключается договор на основании правового акта Корпорации в целях оказания услуг по разработке исходных д</w:t>
      </w:r>
      <w:r w:rsidR="00FD3B1F" w:rsidRPr="00285A46">
        <w:rPr>
          <w:rFonts w:ascii="Times New Roman" w:hAnsi="Times New Roman" w:cs="Times New Roman"/>
          <w:b w:val="0"/>
          <w:sz w:val="24"/>
          <w:szCs w:val="24"/>
        </w:rPr>
        <w:t xml:space="preserve">анных и/или выполнения проектных и/или </w:t>
      </w:r>
      <w:r w:rsidR="00990FA1" w:rsidRPr="00285A46">
        <w:rPr>
          <w:rFonts w:ascii="Times New Roman" w:hAnsi="Times New Roman" w:cs="Times New Roman"/>
          <w:b w:val="0"/>
          <w:sz w:val="24"/>
          <w:szCs w:val="24"/>
        </w:rPr>
        <w:t>изыскательских работ и/или выполнения функции технического заказчика в рамках реализации программ капитальных вложений предприятий отраслевого комплекса Обычных вооружений, боеприпасов и спецхимии»</w:t>
      </w:r>
      <w:bookmarkEnd w:id="1"/>
      <w:r w:rsidR="00990FA1" w:rsidRPr="00285A46">
        <w:rPr>
          <w:rFonts w:ascii="Times New Roman" w:hAnsi="Times New Roman" w:cs="Times New Roman"/>
          <w:b w:val="0"/>
          <w:sz w:val="24"/>
          <w:szCs w:val="24"/>
        </w:rPr>
        <w:t>;</w:t>
      </w:r>
    </w:p>
    <w:p w14:paraId="2EA503E0" w14:textId="5060F68B" w:rsidR="00990FA1" w:rsidRPr="00285A46" w:rsidRDefault="00990FA1" w:rsidP="000960B3">
      <w:pPr>
        <w:pStyle w:val="ConsPlusTitle"/>
        <w:spacing w:line="276" w:lineRule="auto"/>
        <w:ind w:firstLine="567"/>
        <w:jc w:val="both"/>
        <w:rPr>
          <w:rFonts w:ascii="Times New Roman" w:hAnsi="Times New Roman" w:cs="Times New Roman"/>
          <w:b w:val="0"/>
          <w:sz w:val="24"/>
          <w:szCs w:val="24"/>
        </w:rPr>
      </w:pPr>
    </w:p>
    <w:p w14:paraId="06189A46" w14:textId="5A0F70DC" w:rsidR="00353DAD" w:rsidRPr="00285A46" w:rsidRDefault="000960B3" w:rsidP="000960B3">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Дополнить пп. 10.3.6(6) следующими словами: «либо в случаях </w:t>
      </w:r>
      <w:r w:rsidR="00285A46" w:rsidRPr="00285A46">
        <w:rPr>
          <w:rFonts w:ascii="Times New Roman" w:hAnsi="Times New Roman" w:cs="Times New Roman"/>
          <w:b w:val="0"/>
          <w:sz w:val="24"/>
          <w:szCs w:val="24"/>
        </w:rPr>
        <w:t>осуществления</w:t>
      </w:r>
      <w:r w:rsidRPr="00285A46">
        <w:rPr>
          <w:rFonts w:ascii="Times New Roman" w:hAnsi="Times New Roman" w:cs="Times New Roman"/>
          <w:b w:val="0"/>
          <w:sz w:val="24"/>
          <w:szCs w:val="24"/>
        </w:rPr>
        <w:t xml:space="preserve"> закупки </w:t>
      </w:r>
      <w:r w:rsidR="00396D81" w:rsidRPr="00285A46">
        <w:rPr>
          <w:rFonts w:ascii="Times New Roman" w:hAnsi="Times New Roman" w:cs="Times New Roman"/>
          <w:b w:val="0"/>
          <w:sz w:val="24"/>
          <w:szCs w:val="24"/>
        </w:rPr>
        <w:t>по отбору лизингодателя</w:t>
      </w:r>
      <w:r w:rsidR="00285A46" w:rsidRPr="00285A46">
        <w:rPr>
          <w:rFonts w:ascii="Times New Roman" w:hAnsi="Times New Roman" w:cs="Times New Roman"/>
          <w:b w:val="0"/>
          <w:sz w:val="24"/>
          <w:szCs w:val="24"/>
        </w:rPr>
        <w:t>, проводимой</w:t>
      </w:r>
      <w:r w:rsidR="00396D81" w:rsidRPr="00285A46">
        <w:rPr>
          <w:rFonts w:ascii="Times New Roman" w:hAnsi="Times New Roman" w:cs="Times New Roman"/>
          <w:b w:val="0"/>
          <w:sz w:val="24"/>
          <w:szCs w:val="24"/>
        </w:rPr>
        <w:t xml:space="preserve"> </w:t>
      </w:r>
      <w:r w:rsidR="00285A46" w:rsidRPr="00285A46">
        <w:rPr>
          <w:rFonts w:ascii="Times New Roman" w:hAnsi="Times New Roman" w:cs="Times New Roman"/>
          <w:b w:val="0"/>
          <w:sz w:val="24"/>
          <w:szCs w:val="24"/>
        </w:rPr>
        <w:t>после</w:t>
      </w:r>
      <w:r w:rsidR="00396D81" w:rsidRPr="00285A46">
        <w:rPr>
          <w:rFonts w:ascii="Times New Roman" w:hAnsi="Times New Roman" w:cs="Times New Roman"/>
          <w:b w:val="0"/>
          <w:sz w:val="24"/>
          <w:szCs w:val="24"/>
        </w:rPr>
        <w:t xml:space="preserve"> проведения лизингополучателем, являющимся организацией Корпорации, закупки по отбору поставщика предмета лизинга</w:t>
      </w:r>
      <w:r w:rsidRPr="00285A46">
        <w:rPr>
          <w:rFonts w:ascii="Times New Roman" w:hAnsi="Times New Roman" w:cs="Times New Roman"/>
          <w:b w:val="0"/>
          <w:sz w:val="24"/>
          <w:szCs w:val="24"/>
        </w:rPr>
        <w:t>»;</w:t>
      </w:r>
    </w:p>
    <w:p w14:paraId="0478B58E" w14:textId="77777777" w:rsidR="000960B3" w:rsidRPr="00285A46" w:rsidRDefault="000960B3" w:rsidP="000960B3">
      <w:pPr>
        <w:pStyle w:val="ConsPlusTitle"/>
        <w:spacing w:line="276" w:lineRule="auto"/>
        <w:ind w:firstLine="567"/>
        <w:jc w:val="both"/>
        <w:rPr>
          <w:rFonts w:ascii="Times New Roman" w:hAnsi="Times New Roman" w:cs="Times New Roman"/>
          <w:b w:val="0"/>
          <w:sz w:val="24"/>
          <w:szCs w:val="24"/>
        </w:rPr>
      </w:pPr>
    </w:p>
    <w:p w14:paraId="7DE91666" w14:textId="55B4CD50" w:rsidR="000960B3" w:rsidRPr="00285A46" w:rsidRDefault="000960B3" w:rsidP="000960B3">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Пп. 10.11.8(3) дополнить словами: «, за исключением закупок, предусмотренных подразделом 19.2 Положения».</w:t>
      </w:r>
    </w:p>
    <w:p w14:paraId="78E31E2F" w14:textId="77777777" w:rsidR="00353DAD" w:rsidRPr="00285A46" w:rsidRDefault="00353DAD" w:rsidP="000960B3">
      <w:pPr>
        <w:pStyle w:val="ConsPlusTitle"/>
        <w:spacing w:line="276" w:lineRule="auto"/>
        <w:ind w:firstLine="567"/>
        <w:jc w:val="both"/>
        <w:rPr>
          <w:rFonts w:ascii="Times New Roman" w:hAnsi="Times New Roman" w:cs="Times New Roman"/>
          <w:b w:val="0"/>
          <w:sz w:val="24"/>
          <w:szCs w:val="24"/>
        </w:rPr>
      </w:pPr>
    </w:p>
    <w:p w14:paraId="319FF586" w14:textId="1397C50E" w:rsidR="00990FA1" w:rsidRPr="00285A46" w:rsidRDefault="00990FA1" w:rsidP="000960B3">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16.1.1 Положения о закупке вместо слов «6.6.2(43)» читать «6.6.2(4</w:t>
      </w:r>
      <w:r w:rsidR="00353DAD" w:rsidRPr="00285A46">
        <w:rPr>
          <w:rFonts w:ascii="Times New Roman" w:hAnsi="Times New Roman" w:cs="Times New Roman"/>
          <w:b w:val="0"/>
          <w:sz w:val="24"/>
          <w:szCs w:val="24"/>
        </w:rPr>
        <w:t>7</w:t>
      </w:r>
      <w:r w:rsidRPr="00285A46">
        <w:rPr>
          <w:rFonts w:ascii="Times New Roman" w:hAnsi="Times New Roman" w:cs="Times New Roman"/>
          <w:b w:val="0"/>
          <w:sz w:val="24"/>
          <w:szCs w:val="24"/>
        </w:rPr>
        <w:t>)»;</w:t>
      </w:r>
    </w:p>
    <w:p w14:paraId="7A81EEB9" w14:textId="77777777" w:rsidR="00990FA1" w:rsidRPr="00285A46" w:rsidRDefault="00990FA1" w:rsidP="000960B3">
      <w:pPr>
        <w:pStyle w:val="ConsPlusTitle"/>
        <w:spacing w:line="276" w:lineRule="auto"/>
        <w:ind w:firstLine="567"/>
        <w:jc w:val="both"/>
        <w:rPr>
          <w:rFonts w:ascii="Times New Roman" w:hAnsi="Times New Roman" w:cs="Times New Roman"/>
          <w:b w:val="0"/>
          <w:sz w:val="24"/>
          <w:szCs w:val="24"/>
        </w:rPr>
      </w:pPr>
    </w:p>
    <w:p w14:paraId="7C15064C" w14:textId="0EA6C97C"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16.1.2 Положения о закупке вместо слов «6.6.2(43)» читать «6.6.2(4</w:t>
      </w:r>
      <w:r w:rsidR="00353DAD" w:rsidRPr="00285A46">
        <w:rPr>
          <w:rFonts w:ascii="Times New Roman" w:hAnsi="Times New Roman" w:cs="Times New Roman"/>
          <w:b w:val="0"/>
          <w:sz w:val="24"/>
          <w:szCs w:val="24"/>
        </w:rPr>
        <w:t>7</w:t>
      </w:r>
      <w:r w:rsidRPr="00285A46">
        <w:rPr>
          <w:rFonts w:ascii="Times New Roman" w:hAnsi="Times New Roman" w:cs="Times New Roman"/>
          <w:b w:val="0"/>
          <w:sz w:val="24"/>
          <w:szCs w:val="24"/>
        </w:rPr>
        <w:t>)»;</w:t>
      </w:r>
    </w:p>
    <w:p w14:paraId="4D3CB31F" w14:textId="77777777"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p>
    <w:p w14:paraId="4619C460" w14:textId="33956A37"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16.1.7 Положения о закупке вместо слов «6.6.2(43)» читать «6.6.2(4</w:t>
      </w:r>
      <w:r w:rsidR="00353DAD" w:rsidRPr="00285A46">
        <w:rPr>
          <w:rFonts w:ascii="Times New Roman" w:hAnsi="Times New Roman" w:cs="Times New Roman"/>
          <w:b w:val="0"/>
          <w:sz w:val="24"/>
          <w:szCs w:val="24"/>
        </w:rPr>
        <w:t>7</w:t>
      </w:r>
      <w:r w:rsidRPr="00285A46">
        <w:rPr>
          <w:rFonts w:ascii="Times New Roman" w:hAnsi="Times New Roman" w:cs="Times New Roman"/>
          <w:b w:val="0"/>
          <w:sz w:val="24"/>
          <w:szCs w:val="24"/>
        </w:rPr>
        <w:t>)»;</w:t>
      </w:r>
    </w:p>
    <w:p w14:paraId="64C91258" w14:textId="77777777"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p>
    <w:p w14:paraId="4EB8F750" w14:textId="4719C2BE"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16.1.10(10) Положения о закупке вместо слов «ОКДП2» читать «ОКПД2»;</w:t>
      </w:r>
    </w:p>
    <w:p w14:paraId="1D3EE993" w14:textId="28F49B1F"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 </w:t>
      </w:r>
    </w:p>
    <w:p w14:paraId="68CC51DE" w14:textId="70674670"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16.1.12 Положения о закупке вместо с</w:t>
      </w:r>
      <w:r w:rsidR="00E724C1">
        <w:rPr>
          <w:rFonts w:ascii="Times New Roman" w:hAnsi="Times New Roman" w:cs="Times New Roman"/>
          <w:b w:val="0"/>
          <w:sz w:val="24"/>
          <w:szCs w:val="24"/>
        </w:rPr>
        <w:t>лов «6.6.2(43)» читать «6.6.2(47</w:t>
      </w:r>
      <w:bookmarkStart w:id="2" w:name="_GoBack"/>
      <w:bookmarkEnd w:id="2"/>
      <w:r w:rsidRPr="00285A46">
        <w:rPr>
          <w:rFonts w:ascii="Times New Roman" w:hAnsi="Times New Roman" w:cs="Times New Roman"/>
          <w:b w:val="0"/>
          <w:sz w:val="24"/>
          <w:szCs w:val="24"/>
        </w:rPr>
        <w:t>)»;</w:t>
      </w:r>
    </w:p>
    <w:p w14:paraId="46152329" w14:textId="77777777"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p>
    <w:p w14:paraId="690C3D9D" w14:textId="09C7986C" w:rsidR="000960B3" w:rsidRPr="00285A46" w:rsidRDefault="000960B3"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Пп. 19.11.6(</w:t>
      </w:r>
      <w:r w:rsidR="00355F70" w:rsidRPr="00285A46">
        <w:rPr>
          <w:rFonts w:ascii="Times New Roman" w:hAnsi="Times New Roman" w:cs="Times New Roman"/>
          <w:b w:val="0"/>
          <w:sz w:val="24"/>
          <w:szCs w:val="24"/>
        </w:rPr>
        <w:t>5</w:t>
      </w:r>
      <w:r w:rsidRPr="00285A46">
        <w:rPr>
          <w:rFonts w:ascii="Times New Roman" w:hAnsi="Times New Roman" w:cs="Times New Roman"/>
          <w:b w:val="0"/>
          <w:sz w:val="24"/>
          <w:szCs w:val="24"/>
        </w:rPr>
        <w:t>) Положения о закупке изложить в новой редакции: «</w:t>
      </w:r>
      <w:r w:rsidR="00355F70" w:rsidRPr="00285A46">
        <w:rPr>
          <w:rFonts w:ascii="Times New Roman" w:hAnsi="Times New Roman" w:cs="Times New Roman"/>
          <w:b w:val="0"/>
          <w:sz w:val="24"/>
          <w:szCs w:val="24"/>
        </w:rPr>
        <w:t xml:space="preserve">порядок и критерии отбора и оценки (критерии отбора, помимо цены, должны </w:t>
      </w:r>
      <w:r w:rsidR="00FD3B1F" w:rsidRPr="00285A46">
        <w:rPr>
          <w:rFonts w:ascii="Times New Roman" w:hAnsi="Times New Roman" w:cs="Times New Roman"/>
          <w:b w:val="0"/>
          <w:sz w:val="24"/>
          <w:szCs w:val="24"/>
        </w:rPr>
        <w:t xml:space="preserve">содержать </w:t>
      </w:r>
      <w:r w:rsidR="00355F70" w:rsidRPr="00285A46">
        <w:rPr>
          <w:rFonts w:ascii="Times New Roman" w:hAnsi="Times New Roman" w:cs="Times New Roman"/>
          <w:b w:val="0"/>
          <w:sz w:val="24"/>
          <w:szCs w:val="24"/>
        </w:rPr>
        <w:t>дополнительные условия предоставления услуг, таких как комиссии, обеспечение, ковенанты и т.п.)</w:t>
      </w:r>
      <w:r w:rsidRPr="00285A46">
        <w:rPr>
          <w:rFonts w:ascii="Times New Roman" w:hAnsi="Times New Roman" w:cs="Times New Roman"/>
          <w:b w:val="0"/>
          <w:sz w:val="24"/>
          <w:szCs w:val="24"/>
        </w:rPr>
        <w:t>»</w:t>
      </w:r>
      <w:r w:rsidR="00355F70" w:rsidRPr="00285A46">
        <w:rPr>
          <w:rFonts w:ascii="Times New Roman" w:hAnsi="Times New Roman" w:cs="Times New Roman"/>
          <w:b w:val="0"/>
          <w:sz w:val="24"/>
          <w:szCs w:val="24"/>
        </w:rPr>
        <w:t>.</w:t>
      </w:r>
    </w:p>
    <w:p w14:paraId="15A48C5A" w14:textId="77777777" w:rsidR="000960B3" w:rsidRPr="00285A46" w:rsidRDefault="000960B3" w:rsidP="000960B3">
      <w:pPr>
        <w:pStyle w:val="ConsPlusTitle"/>
        <w:spacing w:line="276" w:lineRule="auto"/>
        <w:ind w:left="567"/>
        <w:jc w:val="both"/>
        <w:rPr>
          <w:rFonts w:ascii="Times New Roman" w:hAnsi="Times New Roman" w:cs="Times New Roman"/>
          <w:b w:val="0"/>
          <w:sz w:val="24"/>
          <w:szCs w:val="24"/>
        </w:rPr>
      </w:pPr>
    </w:p>
    <w:p w14:paraId="4250D122" w14:textId="3FF16879" w:rsidR="00990FA1" w:rsidRPr="00285A46" w:rsidRDefault="00990FA1"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Раздел 19 Положения о закупке дополнить подразделами 19.18, 19.19 следующего содержания:</w:t>
      </w:r>
    </w:p>
    <w:p w14:paraId="777250BC" w14:textId="5DE5E904" w:rsidR="00D5088C" w:rsidRPr="00285A46" w:rsidRDefault="00990FA1" w:rsidP="00D5088C">
      <w:pPr>
        <w:pStyle w:val="3"/>
        <w:numPr>
          <w:ilvl w:val="0"/>
          <w:numId w:val="0"/>
        </w:numPr>
        <w:ind w:firstLine="567"/>
      </w:pPr>
      <w:r w:rsidRPr="00285A46">
        <w:rPr>
          <w:rFonts w:ascii="Times New Roman" w:hAnsi="Times New Roman"/>
          <w:b w:val="0"/>
          <w:sz w:val="24"/>
          <w:szCs w:val="24"/>
        </w:rPr>
        <w:t>«</w:t>
      </w:r>
      <w:bookmarkStart w:id="3" w:name="_Ref468179838"/>
      <w:r w:rsidR="00D5088C" w:rsidRPr="00285A46">
        <w:rPr>
          <w:rFonts w:ascii="Times New Roman" w:hAnsi="Times New Roman"/>
          <w:sz w:val="24"/>
          <w:szCs w:val="24"/>
        </w:rPr>
        <w:t>19.18</w:t>
      </w:r>
      <w:r w:rsidR="00D5088C" w:rsidRPr="00285A46">
        <w:rPr>
          <w:rFonts w:ascii="Times New Roman" w:hAnsi="Times New Roman"/>
          <w:b w:val="0"/>
          <w:sz w:val="24"/>
          <w:szCs w:val="24"/>
        </w:rPr>
        <w:t xml:space="preserve"> </w:t>
      </w:r>
      <w:r w:rsidR="00D5088C" w:rsidRPr="00285A46">
        <w:rPr>
          <w:rFonts w:ascii="Times New Roman" w:hAnsi="Times New Roman"/>
          <w:sz w:val="24"/>
          <w:szCs w:val="24"/>
        </w:rPr>
        <w:t>Закупки услуг лизинга</w:t>
      </w:r>
      <w:bookmarkEnd w:id="3"/>
    </w:p>
    <w:p w14:paraId="77904064" w14:textId="4D4ABB98"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19.18.1 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74034585" w14:textId="2A26390E"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19.18.2 Выбор поставщика предмета лизинга может осуществляться лизингополучателем или лизингодателем.</w:t>
      </w:r>
    </w:p>
    <w:p w14:paraId="3C8EEFA2" w14:textId="17679B57"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19.18.3 В случае, если определение поставщика предмета лизинга осуществляется лизингополучателем, то оно осуществляется в порядке, установленном Положением.</w:t>
      </w:r>
    </w:p>
    <w:p w14:paraId="528BFE7B" w14:textId="7CBF167E"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19.18.4 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5FAE8C59" w14:textId="431A4C11"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19.18.5 При определении поставщика предмета лизинга в документации о закупке дополнительно устанавливаются следующие требования:</w:t>
      </w:r>
    </w:p>
    <w:p w14:paraId="464B201A" w14:textId="62E4F90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 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B1B6341" w14:textId="20E9017B"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описание предмета лизинга, в том числе перечень закупаемых товаров и их характеристики в соответствии с подразделом 10.3 настоящего Положения;</w:t>
      </w:r>
    </w:p>
    <w:p w14:paraId="74BB9E56" w14:textId="721A7322"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(3) сроки и порядок оплаты предмета лизинга лизингодателем.</w:t>
      </w:r>
    </w:p>
    <w:p w14:paraId="5CB62E65" w14:textId="25EA8ED2"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19.18.6 В случае, если определение поставщика предмета лизинга осуществляется лизингодателем, являющимся организацией Корпорации, такие закупки проводятся путем:</w:t>
      </w:r>
    </w:p>
    <w:p w14:paraId="541EBAEC" w14:textId="3275DE8A"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 проведения запроса предложений вне зависимости от размера НМЦ;</w:t>
      </w:r>
    </w:p>
    <w:p w14:paraId="39F5CE98" w14:textId="6EE71C3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проведения закупки у единственного поставщика в случаях, предусмотренных настоящим Положением.</w:t>
      </w:r>
    </w:p>
    <w:p w14:paraId="26037569" w14:textId="1F334948"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19.18.7 При проведении процедуры закупки по выбору лизингодателя в документации о закупке, помимо сведений, предусмотренных разделами </w:t>
      </w:r>
      <w:r w:rsidRPr="00285A46">
        <w:rPr>
          <w:rFonts w:ascii="Times New Roman" w:hAnsi="Times New Roman" w:cs="Times New Roman"/>
          <w:b w:val="0"/>
          <w:sz w:val="24"/>
          <w:szCs w:val="24"/>
        </w:rPr>
        <w:fldChar w:fldCharType="begin"/>
      </w:r>
      <w:r w:rsidRPr="00285A46">
        <w:rPr>
          <w:rFonts w:ascii="Times New Roman" w:hAnsi="Times New Roman" w:cs="Times New Roman"/>
          <w:b w:val="0"/>
          <w:sz w:val="24"/>
          <w:szCs w:val="24"/>
        </w:rPr>
        <w:instrText xml:space="preserve"> REF _Ref264615794 \r \h  \* MERGEFORMAT </w:instrText>
      </w:r>
      <w:r w:rsidRPr="00285A46">
        <w:rPr>
          <w:rFonts w:ascii="Times New Roman" w:hAnsi="Times New Roman" w:cs="Times New Roman"/>
          <w:b w:val="0"/>
          <w:sz w:val="24"/>
          <w:szCs w:val="24"/>
        </w:rPr>
      </w:r>
      <w:r w:rsidRPr="00285A46">
        <w:rPr>
          <w:rFonts w:ascii="Times New Roman" w:hAnsi="Times New Roman" w:cs="Times New Roman"/>
          <w:b w:val="0"/>
          <w:sz w:val="24"/>
          <w:szCs w:val="24"/>
        </w:rPr>
        <w:fldChar w:fldCharType="separate"/>
      </w:r>
      <w:r w:rsidRPr="00285A46">
        <w:rPr>
          <w:rFonts w:ascii="Times New Roman" w:hAnsi="Times New Roman" w:cs="Times New Roman"/>
          <w:b w:val="0"/>
          <w:sz w:val="24"/>
          <w:szCs w:val="24"/>
        </w:rPr>
        <w:t>12</w:t>
      </w:r>
      <w:r w:rsidRPr="00285A46">
        <w:rPr>
          <w:rFonts w:ascii="Times New Roman" w:hAnsi="Times New Roman" w:cs="Times New Roman"/>
          <w:b w:val="0"/>
          <w:sz w:val="24"/>
          <w:szCs w:val="24"/>
        </w:rPr>
        <w:fldChar w:fldCharType="end"/>
      </w:r>
      <w:r w:rsidRPr="00285A46">
        <w:rPr>
          <w:rFonts w:ascii="Times New Roman" w:hAnsi="Times New Roman" w:cs="Times New Roman"/>
          <w:b w:val="0"/>
          <w:sz w:val="24"/>
          <w:szCs w:val="24"/>
        </w:rPr>
        <w:t>-</w:t>
      </w:r>
      <w:r w:rsidRPr="00285A46">
        <w:rPr>
          <w:rFonts w:ascii="Times New Roman" w:hAnsi="Times New Roman" w:cs="Times New Roman"/>
          <w:b w:val="0"/>
          <w:sz w:val="24"/>
          <w:szCs w:val="24"/>
        </w:rPr>
        <w:fldChar w:fldCharType="begin"/>
      </w:r>
      <w:r w:rsidRPr="00285A46">
        <w:rPr>
          <w:rFonts w:ascii="Times New Roman" w:hAnsi="Times New Roman" w:cs="Times New Roman"/>
          <w:b w:val="0"/>
          <w:sz w:val="24"/>
          <w:szCs w:val="24"/>
        </w:rPr>
        <w:instrText xml:space="preserve"> REF _Ref266996979 \r \h  \* MERGEFORMAT </w:instrText>
      </w:r>
      <w:r w:rsidRPr="00285A46">
        <w:rPr>
          <w:rFonts w:ascii="Times New Roman" w:hAnsi="Times New Roman" w:cs="Times New Roman"/>
          <w:b w:val="0"/>
          <w:sz w:val="24"/>
          <w:szCs w:val="24"/>
        </w:rPr>
      </w:r>
      <w:r w:rsidRPr="00285A46">
        <w:rPr>
          <w:rFonts w:ascii="Times New Roman" w:hAnsi="Times New Roman" w:cs="Times New Roman"/>
          <w:b w:val="0"/>
          <w:sz w:val="24"/>
          <w:szCs w:val="24"/>
        </w:rPr>
        <w:fldChar w:fldCharType="separate"/>
      </w:r>
      <w:r w:rsidRPr="00285A46">
        <w:rPr>
          <w:rFonts w:ascii="Times New Roman" w:hAnsi="Times New Roman" w:cs="Times New Roman"/>
          <w:b w:val="0"/>
          <w:sz w:val="24"/>
          <w:szCs w:val="24"/>
        </w:rPr>
        <w:t>15</w:t>
      </w:r>
      <w:r w:rsidRPr="00285A46">
        <w:rPr>
          <w:rFonts w:ascii="Times New Roman" w:hAnsi="Times New Roman" w:cs="Times New Roman"/>
          <w:b w:val="0"/>
          <w:sz w:val="24"/>
          <w:szCs w:val="24"/>
        </w:rPr>
        <w:fldChar w:fldCharType="end"/>
      </w:r>
      <w:r w:rsidRPr="00285A46">
        <w:rPr>
          <w:rFonts w:ascii="Times New Roman" w:hAnsi="Times New Roman" w:cs="Times New Roman"/>
          <w:b w:val="0"/>
          <w:sz w:val="24"/>
          <w:szCs w:val="24"/>
        </w:rPr>
        <w:t xml:space="preserve"> настоящего Положения, дополнительно указываются следующие сведения:</w:t>
      </w:r>
    </w:p>
    <w:p w14:paraId="6DBC0EF7" w14:textId="3888C853"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 указание на то, что предметом закупки является право заключения договора лизинга в отношении предмета лизинга;</w:t>
      </w:r>
    </w:p>
    <w:p w14:paraId="6297010E" w14:textId="7279F5F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указание на порядок определения поставщика предмета лизинга либо, если поставщик предмета лизинга уже отобран, указание наименования и адреса такого поставщика;</w:t>
      </w:r>
    </w:p>
    <w:p w14:paraId="56106282" w14:textId="7CAE2763"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(3) 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 10.3 настоящего 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4D9FE8B2" w14:textId="1651FF9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 срок договора лизинга;</w:t>
      </w:r>
    </w:p>
    <w:p w14:paraId="0AAEDBD8" w14:textId="62C6E02D"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(5) 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7134A583" w14:textId="23674C18"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lastRenderedPageBreak/>
        <w:t>(6) 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0BBE8DB3" w14:textId="4CDEF3E2"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(7) сведения о необходимых дополнительных работах (услугах), подлежащих оказанию лизингодателем в рамках договора лизинга;</w:t>
      </w:r>
    </w:p>
    <w:p w14:paraId="284ED04A" w14:textId="203F03AA"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(8) 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72996C90" w14:textId="2C7C4D14"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(9) прочие существенные условия договора лизинга.</w:t>
      </w:r>
    </w:p>
    <w:p w14:paraId="02E6CDAC" w14:textId="4A73C741"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19.18.8 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6B6CEE9D" w14:textId="56AFD81C"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19.18.9 При проведении процедуры закупки по выбору лизингодателя заказчик приглашает к участию в закупке лизинговые компании, являющиеся организациями Корпорации (при наличии), путем направления в течение 1 дня после размещения извещения и документации о закупке соответствующего уведомления.</w:t>
      </w:r>
    </w:p>
    <w:p w14:paraId="4D0AE08B" w14:textId="33029FA9"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19.18.10 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настоящему Положению.</w:t>
      </w:r>
    </w:p>
    <w:p w14:paraId="35550771" w14:textId="06B3E90B" w:rsidR="00D5088C" w:rsidRPr="00285A46" w:rsidRDefault="00D5088C" w:rsidP="00D5088C">
      <w:pPr>
        <w:pStyle w:val="3"/>
        <w:numPr>
          <w:ilvl w:val="0"/>
          <w:numId w:val="0"/>
        </w:numPr>
        <w:ind w:firstLine="567"/>
        <w:rPr>
          <w:rFonts w:ascii="Times New Roman" w:hAnsi="Times New Roman"/>
          <w:sz w:val="24"/>
          <w:szCs w:val="24"/>
        </w:rPr>
      </w:pPr>
      <w:bookmarkStart w:id="4" w:name="_Ref468179864"/>
      <w:r w:rsidRPr="00285A46">
        <w:rPr>
          <w:rFonts w:ascii="Times New Roman" w:hAnsi="Times New Roman"/>
          <w:sz w:val="24"/>
          <w:szCs w:val="24"/>
        </w:rPr>
        <w:t>19.19 Закупки с предоставлением приоритета</w:t>
      </w:r>
      <w:bookmarkEnd w:id="4"/>
    </w:p>
    <w:p w14:paraId="1A0B56D1" w14:textId="2035B94F"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19.19.1 Приоритет в обязательном порядке предоставляется при проведении следующих способов закупки:</w:t>
      </w:r>
    </w:p>
    <w:p w14:paraId="400E3E75" w14:textId="4812D042"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 конкурс;</w:t>
      </w:r>
    </w:p>
    <w:p w14:paraId="7D7EE09F" w14:textId="14CC5589"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аукцион / редукцион;</w:t>
      </w:r>
    </w:p>
    <w:p w14:paraId="077C36F7" w14:textId="7DFA2F4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(3) запрос предложений;</w:t>
      </w:r>
    </w:p>
    <w:p w14:paraId="4355574E" w14:textId="01F48DB7"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 запрос котировок.</w:t>
      </w:r>
    </w:p>
    <w:p w14:paraId="3C03204E" w14:textId="6DF59E10"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19.19.2 Приоритет при проведении закупок у единственного поставщика не предоставляется.</w:t>
      </w:r>
    </w:p>
    <w:p w14:paraId="5EFB296D" w14:textId="02BDB04C"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19.19.3 Приоритет предоставляется при проведении закупок заказчиками I группы, при проведении закупок заказчиками II группы приоритет не предоставляется.</w:t>
      </w:r>
    </w:p>
    <w:p w14:paraId="64711350" w14:textId="2C8BED8D"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19.19.4 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60FEC04C" w14:textId="3CC63E9F"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bookmarkStart w:id="5" w:name="_Ref468132778"/>
      <w:r w:rsidRPr="00285A46">
        <w:rPr>
          <w:rFonts w:ascii="Times New Roman" w:hAnsi="Times New Roman" w:cs="Times New Roman"/>
          <w:b w:val="0"/>
          <w:sz w:val="24"/>
          <w:szCs w:val="24"/>
        </w:rPr>
        <w:t>(1) оценка и сопоставление заявок на участие в конкурсе,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bookmarkEnd w:id="5"/>
    </w:p>
    <w:p w14:paraId="28241474" w14:textId="755B6F67"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в случае, если при проведении конкурса, запроса предложений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 19.19.4(1) Положения, после приведения предложений участников закупки к единому базису оценки без учета НДС.</w:t>
      </w:r>
    </w:p>
    <w:p w14:paraId="0B316EC0" w14:textId="55BE98C2"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19.19.5 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2726F9B" w14:textId="6D55FDFB"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19.19.6 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7B303518" w14:textId="22ED550D"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19.19.7 При осуществлении закупок продукции путем проведения аукциона / редукциона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0371C4DF" w14:textId="52C87924"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19.19.8 В случае, если в ходе проведения аукциона / редукциона цена договора снижена до нуля и предметом закупки является право заключить договор с заказчиком (аукцион / редукцион проводился на повышение цены договора) и победителем аукциона / редукциона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3E9A5FD3" w14:textId="094BF0AE"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19.19.9 В документацию о закупке соответствующим способом, помимо сведений, предусмотренных подразделами 12-15 Положения, включаются следующие условия предоставления приоритета:</w:t>
      </w:r>
    </w:p>
    <w:p w14:paraId="435B0010" w14:textId="00DDE6D9"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 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 / редукционе наименования страны происхождения поставляемых товаров;</w:t>
      </w:r>
    </w:p>
    <w:p w14:paraId="151E3A8F" w14:textId="5BEDCA5A"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43B94422" w14:textId="4C78CF63"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bookmarkStart w:id="6" w:name="_Ref468133861"/>
      <w:r w:rsidRPr="00285A46">
        <w:rPr>
          <w:rFonts w:ascii="Times New Roman" w:hAnsi="Times New Roman" w:cs="Times New Roman"/>
          <w:b w:val="0"/>
          <w:sz w:val="24"/>
          <w:szCs w:val="24"/>
        </w:rPr>
        <w:t>(3) сведения о начальной (максимальной) цене единицы каждого товара, работы, услуги, являющихся предметом закупки;</w:t>
      </w:r>
      <w:bookmarkEnd w:id="6"/>
    </w:p>
    <w:p w14:paraId="3577B16E" w14:textId="51B8F576"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BDEA413" w14:textId="5F137A4A" w:rsidR="00D5088C" w:rsidRPr="00285A46" w:rsidRDefault="00D5088C"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 19.19.</w:t>
      </w:r>
      <w:r w:rsidR="0095006B" w:rsidRPr="00285A46">
        <w:rPr>
          <w:rFonts w:ascii="Times New Roman" w:hAnsi="Times New Roman" w:cs="Times New Roman"/>
          <w:b w:val="0"/>
          <w:sz w:val="24"/>
          <w:szCs w:val="24"/>
        </w:rPr>
        <w:t>10</w:t>
      </w:r>
      <w:r w:rsidRPr="00285A46">
        <w:rPr>
          <w:rFonts w:ascii="Times New Roman" w:hAnsi="Times New Roman" w:cs="Times New Roman"/>
          <w:b w:val="0"/>
          <w:sz w:val="24"/>
          <w:szCs w:val="24"/>
        </w:rPr>
        <w:t>(4), 19.19.</w:t>
      </w:r>
      <w:r w:rsidR="0095006B" w:rsidRPr="00285A46">
        <w:rPr>
          <w:rFonts w:ascii="Times New Roman" w:hAnsi="Times New Roman" w:cs="Times New Roman"/>
          <w:b w:val="0"/>
          <w:sz w:val="24"/>
          <w:szCs w:val="24"/>
        </w:rPr>
        <w:t>10</w:t>
      </w:r>
      <w:r w:rsidRPr="00285A46">
        <w:rPr>
          <w:rFonts w:ascii="Times New Roman" w:hAnsi="Times New Roman" w:cs="Times New Roman"/>
          <w:b w:val="0"/>
          <w:sz w:val="24"/>
          <w:szCs w:val="24"/>
        </w:rPr>
        <w:t>(5)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19.19.9(3)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4941F2" w14:textId="3FABB18A" w:rsidR="00D5088C" w:rsidRPr="00285A46" w:rsidRDefault="0095006B"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(6) </w:t>
      </w:r>
      <w:r w:rsidR="00D5088C" w:rsidRPr="00285A46">
        <w:rPr>
          <w:rFonts w:ascii="Times New Roman" w:hAnsi="Times New Roman" w:cs="Times New Roman"/>
          <w:b w:val="0"/>
          <w:sz w:val="24"/>
          <w:szCs w:val="24"/>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73C0FA" w14:textId="38C6CBD5" w:rsidR="00D5088C" w:rsidRPr="00285A46" w:rsidRDefault="0095006B"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(7) </w:t>
      </w:r>
      <w:r w:rsidR="00D5088C" w:rsidRPr="00285A46">
        <w:rPr>
          <w:rFonts w:ascii="Times New Roman" w:hAnsi="Times New Roman" w:cs="Times New Roman"/>
          <w:b w:val="0"/>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3BEE50D" w14:textId="3D86815F" w:rsidR="00D5088C" w:rsidRPr="00285A46" w:rsidRDefault="0095006B"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(8) </w:t>
      </w:r>
      <w:r w:rsidR="00D5088C" w:rsidRPr="00285A46">
        <w:rPr>
          <w:rFonts w:ascii="Times New Roman" w:hAnsi="Times New Roman" w:cs="Times New Roman"/>
          <w:b w:val="0"/>
          <w:sz w:val="24"/>
          <w:szCs w:val="24"/>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0D660056" w14:textId="6C1DEEED" w:rsidR="00D5088C" w:rsidRPr="00285A46" w:rsidRDefault="0095006B" w:rsidP="00D5088C">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(9) </w:t>
      </w:r>
      <w:r w:rsidR="00D5088C" w:rsidRPr="00285A46">
        <w:rPr>
          <w:rFonts w:ascii="Times New Roman" w:hAnsi="Times New Roman" w:cs="Times New Roman"/>
          <w:b w:val="0"/>
          <w:sz w:val="24"/>
          <w:szCs w:val="24"/>
        </w:rPr>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D27AA34" w14:textId="4B01247F"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19.19.10 </w:t>
      </w:r>
      <w:r w:rsidR="00D5088C" w:rsidRPr="00285A46">
        <w:rPr>
          <w:rFonts w:ascii="Times New Roman" w:hAnsi="Times New Roman" w:cs="Times New Roman"/>
          <w:b w:val="0"/>
          <w:sz w:val="24"/>
          <w:szCs w:val="24"/>
        </w:rPr>
        <w:t>Приоритет не предоставляется в случаях, если:</w:t>
      </w:r>
    </w:p>
    <w:p w14:paraId="15B940E5" w14:textId="785B6B7D"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(1) </w:t>
      </w:r>
      <w:r w:rsidR="00D5088C" w:rsidRPr="00285A46">
        <w:rPr>
          <w:rFonts w:ascii="Times New Roman" w:hAnsi="Times New Roman" w:cs="Times New Roman"/>
          <w:b w:val="0"/>
          <w:sz w:val="24"/>
          <w:szCs w:val="24"/>
        </w:rPr>
        <w:t>закупка признана несостоявшейся и договор заключается с единственным участником закупки;</w:t>
      </w:r>
    </w:p>
    <w:p w14:paraId="7EFB46E9" w14:textId="663790CB"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(2) </w:t>
      </w:r>
      <w:r w:rsidR="00D5088C" w:rsidRPr="00285A46">
        <w:rPr>
          <w:rFonts w:ascii="Times New Roman" w:hAnsi="Times New Roman" w:cs="Times New Roman"/>
          <w:b w:val="0"/>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8DC61EB" w14:textId="7CBABBA5"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(3) </w:t>
      </w:r>
      <w:r w:rsidR="00D5088C" w:rsidRPr="00285A46">
        <w:rPr>
          <w:rFonts w:ascii="Times New Roman" w:hAnsi="Times New Roman" w:cs="Times New Roman"/>
          <w:b w:val="0"/>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A51EDC" w14:textId="22BDAB78"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bookmarkStart w:id="7" w:name="_Ref468133776"/>
      <w:r w:rsidRPr="00285A46">
        <w:rPr>
          <w:rFonts w:ascii="Times New Roman" w:hAnsi="Times New Roman" w:cs="Times New Roman"/>
          <w:b w:val="0"/>
          <w:sz w:val="24"/>
          <w:szCs w:val="24"/>
        </w:rPr>
        <w:t xml:space="preserve">(4) </w:t>
      </w:r>
      <w:r w:rsidR="00D5088C" w:rsidRPr="00285A46">
        <w:rPr>
          <w:rFonts w:ascii="Times New Roman" w:hAnsi="Times New Roman" w:cs="Times New Roman"/>
          <w:b w:val="0"/>
          <w:sz w:val="24"/>
          <w:szCs w:val="24"/>
        </w:rPr>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End w:id="7"/>
    </w:p>
    <w:p w14:paraId="1E9D9106" w14:textId="6167DE41" w:rsidR="00D5088C" w:rsidRPr="00285A46" w:rsidRDefault="0095006B" w:rsidP="0095006B">
      <w:pPr>
        <w:pStyle w:val="ConsPlusTitle"/>
        <w:spacing w:line="276" w:lineRule="auto"/>
        <w:ind w:firstLine="567"/>
        <w:jc w:val="both"/>
        <w:rPr>
          <w:rFonts w:ascii="Times New Roman" w:hAnsi="Times New Roman" w:cs="Times New Roman"/>
          <w:b w:val="0"/>
          <w:sz w:val="24"/>
          <w:szCs w:val="24"/>
        </w:rPr>
      </w:pPr>
      <w:bookmarkStart w:id="8" w:name="_Ref468133787"/>
      <w:r w:rsidRPr="00285A46">
        <w:rPr>
          <w:rFonts w:ascii="Times New Roman" w:hAnsi="Times New Roman" w:cs="Times New Roman"/>
          <w:b w:val="0"/>
          <w:sz w:val="24"/>
          <w:szCs w:val="24"/>
        </w:rPr>
        <w:t xml:space="preserve">(5) </w:t>
      </w:r>
      <w:r w:rsidR="00D5088C" w:rsidRPr="00285A46">
        <w:rPr>
          <w:rFonts w:ascii="Times New Roman" w:hAnsi="Times New Roman" w:cs="Times New Roman"/>
          <w:b w:val="0"/>
          <w:sz w:val="24"/>
          <w:szCs w:val="24"/>
        </w:rPr>
        <w:t>в заявке на участие в закупке, представленной участником аукциона / редукциона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bookmarkEnd w:id="8"/>
    </w:p>
    <w:p w14:paraId="2B41C539" w14:textId="7E4F6775" w:rsidR="00990FA1" w:rsidRPr="00285A46" w:rsidRDefault="0095006B" w:rsidP="00990FA1">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 xml:space="preserve">19.19.11 </w:t>
      </w:r>
      <w:r w:rsidR="00D5088C" w:rsidRPr="00285A46">
        <w:rPr>
          <w:rFonts w:ascii="Times New Roman" w:hAnsi="Times New Roman" w:cs="Times New Roman"/>
          <w:b w:val="0"/>
          <w:sz w:val="24"/>
          <w:szCs w:val="24"/>
        </w:rPr>
        <w:t>Приоритет предоставляется при проведении закупок, извещения о проведении которых размещены в ЕИС (для процедур закупок, проводимых в открытой форме) либо приглашения принять участие в которых (для процедур закупок, проводимых в закрытой форме) направлены после 31.12.2016 года</w:t>
      </w:r>
      <w:r w:rsidR="00990FA1" w:rsidRPr="00285A46">
        <w:rPr>
          <w:rFonts w:ascii="Times New Roman" w:hAnsi="Times New Roman" w:cs="Times New Roman"/>
          <w:b w:val="0"/>
          <w:sz w:val="24"/>
          <w:szCs w:val="24"/>
        </w:rPr>
        <w:t>»;</w:t>
      </w:r>
    </w:p>
    <w:p w14:paraId="55914CDD" w14:textId="77777777" w:rsidR="00990FA1" w:rsidRPr="00285A46" w:rsidRDefault="00990FA1" w:rsidP="00990FA1">
      <w:pPr>
        <w:pStyle w:val="ConsPlusTitle"/>
        <w:spacing w:line="276" w:lineRule="auto"/>
        <w:ind w:left="207"/>
        <w:jc w:val="both"/>
        <w:rPr>
          <w:rFonts w:ascii="Times New Roman" w:hAnsi="Times New Roman" w:cs="Times New Roman"/>
          <w:b w:val="0"/>
          <w:sz w:val="24"/>
          <w:szCs w:val="24"/>
        </w:rPr>
      </w:pPr>
    </w:p>
    <w:p w14:paraId="1538D288" w14:textId="321482AF" w:rsidR="00990FA1" w:rsidRPr="00285A46" w:rsidRDefault="0095006B"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Пп. 20.2.14(1) Положения о закупке</w:t>
      </w:r>
      <w:r w:rsidRPr="00285A46">
        <w:rPr>
          <w:rFonts w:ascii="Times New Roman" w:hAnsi="Times New Roman" w:cs="Times New Roman"/>
          <w:sz w:val="24"/>
          <w:szCs w:val="24"/>
        </w:rPr>
        <w:t xml:space="preserve"> </w:t>
      </w:r>
      <w:r w:rsidRPr="00285A46">
        <w:rPr>
          <w:rFonts w:ascii="Times New Roman" w:hAnsi="Times New Roman" w:cs="Times New Roman"/>
          <w:b w:val="0"/>
          <w:sz w:val="24"/>
          <w:szCs w:val="24"/>
        </w:rPr>
        <w:t>дополнить словами «, 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7E64C5D" w14:textId="77777777" w:rsidR="0095006B" w:rsidRPr="00285A46" w:rsidRDefault="0095006B" w:rsidP="0095006B">
      <w:pPr>
        <w:pStyle w:val="ConsPlusTitle"/>
        <w:spacing w:line="276" w:lineRule="auto"/>
        <w:ind w:left="207"/>
        <w:jc w:val="both"/>
        <w:rPr>
          <w:rFonts w:ascii="Times New Roman" w:hAnsi="Times New Roman" w:cs="Times New Roman"/>
          <w:b w:val="0"/>
          <w:sz w:val="24"/>
          <w:szCs w:val="24"/>
        </w:rPr>
      </w:pPr>
    </w:p>
    <w:p w14:paraId="217F7768" w14:textId="6AC3AE45" w:rsidR="0095006B" w:rsidRPr="00285A46" w:rsidRDefault="0095006B"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П. 21.2.2 Положения о закупке дополнить пп. (11) следующего содержания:</w:t>
      </w:r>
    </w:p>
    <w:p w14:paraId="70017417" w14:textId="3D698041" w:rsidR="0095006B" w:rsidRPr="00285A46" w:rsidRDefault="0095006B" w:rsidP="0095006B">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«(11) 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1CA818" w14:textId="77777777" w:rsidR="0095006B" w:rsidRPr="00285A46" w:rsidRDefault="0095006B" w:rsidP="0095006B">
      <w:pPr>
        <w:pStyle w:val="ConsPlusTitle"/>
        <w:spacing w:line="276" w:lineRule="auto"/>
        <w:ind w:left="207"/>
        <w:jc w:val="both"/>
        <w:rPr>
          <w:rFonts w:ascii="Times New Roman" w:hAnsi="Times New Roman" w:cs="Times New Roman"/>
          <w:b w:val="0"/>
          <w:sz w:val="24"/>
          <w:szCs w:val="24"/>
        </w:rPr>
      </w:pPr>
    </w:p>
    <w:p w14:paraId="23BB7D53" w14:textId="647D8AFD" w:rsidR="0095006B" w:rsidRPr="00285A46" w:rsidRDefault="0095006B" w:rsidP="00990FA1">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пп. 23.1.2 Положения о закупке слова «, в том числе» исключить.</w:t>
      </w:r>
    </w:p>
    <w:p w14:paraId="13DCC772" w14:textId="647D8AFD" w:rsidR="0095006B" w:rsidRPr="00285A46" w:rsidRDefault="0095006B" w:rsidP="0095006B">
      <w:pPr>
        <w:pStyle w:val="ConsPlusTitle"/>
        <w:spacing w:line="276" w:lineRule="auto"/>
        <w:ind w:left="207"/>
        <w:jc w:val="both"/>
        <w:rPr>
          <w:rFonts w:ascii="Times New Roman" w:hAnsi="Times New Roman" w:cs="Times New Roman"/>
          <w:b w:val="0"/>
          <w:sz w:val="24"/>
          <w:szCs w:val="24"/>
        </w:rPr>
      </w:pPr>
    </w:p>
    <w:p w14:paraId="193AFB10" w14:textId="77777777" w:rsidR="009C3C90" w:rsidRPr="00285A46" w:rsidRDefault="009C3C90" w:rsidP="009C3C90">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Приложении № 5 к Положению о закупке «Методические рекомендации по определению начальной (максимальной) цены договора (цены лота)» пп. 3.1.7 изложить в следующей редакции:</w:t>
      </w:r>
    </w:p>
    <w:p w14:paraId="3F49F8DB" w14:textId="3B6B7073" w:rsidR="0095006B" w:rsidRPr="00285A46" w:rsidRDefault="009C3C90" w:rsidP="009C3C90">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«3.1.7 по каждой единице товара, работы, услуги, являющихся предметом закупки, выполняется расчет начальной (максимальной) цены такой единицы в порядке, установленном Рекомендациями»;</w:t>
      </w:r>
    </w:p>
    <w:p w14:paraId="55E7F793" w14:textId="77777777" w:rsidR="009C3C90" w:rsidRPr="00285A46" w:rsidRDefault="009C3C90" w:rsidP="009C3C90">
      <w:pPr>
        <w:pStyle w:val="ConsPlusTitle"/>
        <w:spacing w:line="276" w:lineRule="auto"/>
        <w:ind w:firstLine="567"/>
        <w:jc w:val="both"/>
        <w:rPr>
          <w:rFonts w:ascii="Times New Roman" w:hAnsi="Times New Roman" w:cs="Times New Roman"/>
          <w:b w:val="0"/>
          <w:sz w:val="24"/>
          <w:szCs w:val="24"/>
        </w:rPr>
      </w:pPr>
    </w:p>
    <w:p w14:paraId="00F14B3B" w14:textId="7C4EB5EF" w:rsidR="009C3C90" w:rsidRPr="00285A46" w:rsidRDefault="009C3C90" w:rsidP="009C3C90">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Приложении № 5 к Положению о закупке «Методические рекомендации по определению начальной (максимальной) цены договора (цены лота)» пп. 4.2 изложить в новой редакции:</w:t>
      </w:r>
    </w:p>
    <w:p w14:paraId="72B95988" w14:textId="7A48935B" w:rsidR="009C3C90" w:rsidRPr="00285A46" w:rsidRDefault="009C3C90" w:rsidP="009C3C90">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«4.2. Если вносимые согласно п. 4.1 Рекомендаций изменения не влияют на величину НМЦ и (или) на начальную (максимальную) цену одной или нескольких единиц товара, работы, услуги, являющихся предметом закупки, повторный расчет НМЦ не проводится»;</w:t>
      </w:r>
    </w:p>
    <w:p w14:paraId="02809013" w14:textId="77777777" w:rsidR="009C3C90" w:rsidRPr="00285A46" w:rsidRDefault="009C3C90" w:rsidP="006F6335">
      <w:pPr>
        <w:pStyle w:val="ConsPlusTitle"/>
        <w:spacing w:line="276" w:lineRule="auto"/>
        <w:ind w:left="207"/>
        <w:jc w:val="both"/>
        <w:rPr>
          <w:rFonts w:ascii="Times New Roman" w:hAnsi="Times New Roman" w:cs="Times New Roman"/>
          <w:b w:val="0"/>
          <w:sz w:val="24"/>
          <w:szCs w:val="24"/>
        </w:rPr>
      </w:pPr>
    </w:p>
    <w:p w14:paraId="242960F9" w14:textId="28BBBB01" w:rsidR="006F6335" w:rsidRPr="00285A46" w:rsidRDefault="009C3C90" w:rsidP="006F6335">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Приложении № 5 к Положению о закупке «Методические рекомендации по определению начальной (максимальной) цены договора (цены лота)» пп. 4.</w:t>
      </w:r>
      <w:r w:rsidR="006F6335" w:rsidRPr="00285A46">
        <w:rPr>
          <w:rFonts w:ascii="Times New Roman" w:hAnsi="Times New Roman" w:cs="Times New Roman"/>
          <w:b w:val="0"/>
          <w:sz w:val="24"/>
          <w:szCs w:val="24"/>
        </w:rPr>
        <w:t>3</w:t>
      </w:r>
      <w:r w:rsidRPr="00285A46">
        <w:rPr>
          <w:rFonts w:ascii="Times New Roman" w:hAnsi="Times New Roman" w:cs="Times New Roman"/>
          <w:b w:val="0"/>
          <w:sz w:val="24"/>
          <w:szCs w:val="24"/>
        </w:rPr>
        <w:t xml:space="preserve"> изложить в новой редакции:</w:t>
      </w:r>
    </w:p>
    <w:p w14:paraId="4BAC9EC8" w14:textId="55966AA9" w:rsidR="009C3C90" w:rsidRPr="00285A46" w:rsidRDefault="006F6335" w:rsidP="003B2C77">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w:t>
      </w:r>
      <w:r w:rsidR="009C3C90" w:rsidRPr="00285A46">
        <w:rPr>
          <w:rFonts w:ascii="Times New Roman" w:hAnsi="Times New Roman" w:cs="Times New Roman"/>
          <w:b w:val="0"/>
          <w:sz w:val="24"/>
          <w:szCs w:val="24"/>
        </w:rPr>
        <w:t>4.3. Если вносимые согласно п. 4.1 Рекомендаций изменения меняют величину НМЦ и (или) начальную (максимальную) цену одной или нескольких единиц товара, работы, услуги, являющихся предметом закупки, Исполнитель расчета проводит повторный расчет в порядке, установленном Рекомендациями с внесением изменений в извещение и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 в установленном порядке до момента официального опубликования таких изменений».</w:t>
      </w:r>
    </w:p>
    <w:p w14:paraId="3854398C" w14:textId="77777777" w:rsidR="009C3C90" w:rsidRPr="00285A46" w:rsidRDefault="009C3C90" w:rsidP="003B2C77">
      <w:pPr>
        <w:pStyle w:val="ConsPlusNormal"/>
        <w:spacing w:line="276" w:lineRule="auto"/>
        <w:ind w:left="567" w:firstLine="567"/>
        <w:jc w:val="both"/>
        <w:rPr>
          <w:rFonts w:ascii="Times New Roman" w:hAnsi="Times New Roman" w:cs="Times New Roman"/>
          <w:sz w:val="24"/>
          <w:szCs w:val="24"/>
        </w:rPr>
      </w:pPr>
    </w:p>
    <w:p w14:paraId="13FD4E8D" w14:textId="13B9AE4A" w:rsidR="009C3C90" w:rsidRPr="00285A46" w:rsidRDefault="009C3C90" w:rsidP="003B2C77">
      <w:pPr>
        <w:pStyle w:val="ConsPlusTitle"/>
        <w:numPr>
          <w:ilvl w:val="0"/>
          <w:numId w:val="6"/>
        </w:numPr>
        <w:spacing w:line="276" w:lineRule="auto"/>
        <w:ind w:left="0"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В Приложении № 5 к Положению о закупке «Методические рекомендации по определению начальной (максимальной) цены договора (цены лота)» пп. 6.2 изложить следующей редакции:</w:t>
      </w:r>
    </w:p>
    <w:p w14:paraId="77BB2F57" w14:textId="77777777" w:rsidR="009C3C90" w:rsidRPr="00285A46" w:rsidRDefault="009C3C90" w:rsidP="003B2C77">
      <w:pPr>
        <w:pStyle w:val="ConsPlusTitle"/>
        <w:spacing w:line="276" w:lineRule="auto"/>
        <w:ind w:firstLine="567"/>
        <w:jc w:val="both"/>
        <w:rPr>
          <w:rFonts w:ascii="Times New Roman" w:hAnsi="Times New Roman" w:cs="Times New Roman"/>
          <w:b w:val="0"/>
          <w:sz w:val="24"/>
          <w:szCs w:val="24"/>
        </w:rPr>
      </w:pPr>
      <w:r w:rsidRPr="00285A46">
        <w:rPr>
          <w:rFonts w:ascii="Times New Roman" w:hAnsi="Times New Roman" w:cs="Times New Roman"/>
          <w:b w:val="0"/>
          <w:sz w:val="24"/>
          <w:szCs w:val="24"/>
        </w:rPr>
        <w:t>«6.2 В целях получения информации о рыночных ценах продукции в отношении требуемой продукции рекомендуется осуществить поиск с использованием, как минимум двух из указанных в п.п. 6.2.1-6.2.10 Рекомендаций источников, при этом одновременное использование источников, указанных в п.п. 6.2.4</w:t>
      </w:r>
      <w:r w:rsidRPr="00285A46">
        <w:rPr>
          <w:rFonts w:ascii="Times New Roman" w:hAnsi="Times New Roman" w:cs="Times New Roman"/>
          <w:b w:val="0"/>
          <w:sz w:val="24"/>
          <w:szCs w:val="24"/>
        </w:rPr>
        <w:fldChar w:fldCharType="begin"/>
      </w:r>
      <w:r w:rsidRPr="00285A46">
        <w:rPr>
          <w:rFonts w:ascii="Times New Roman" w:hAnsi="Times New Roman" w:cs="Times New Roman"/>
          <w:b w:val="0"/>
          <w:sz w:val="24"/>
          <w:szCs w:val="24"/>
        </w:rPr>
        <w:instrText xml:space="preserve"> REF _Ref420948552 \r \h  \* MERGEFORMAT </w:instrText>
      </w:r>
      <w:r w:rsidRPr="00285A46">
        <w:rPr>
          <w:rFonts w:ascii="Times New Roman" w:hAnsi="Times New Roman" w:cs="Times New Roman"/>
          <w:b w:val="0"/>
          <w:sz w:val="24"/>
          <w:szCs w:val="24"/>
        </w:rPr>
      </w:r>
      <w:r w:rsidRPr="00285A46">
        <w:rPr>
          <w:rFonts w:ascii="Times New Roman" w:hAnsi="Times New Roman" w:cs="Times New Roman"/>
          <w:b w:val="0"/>
          <w:sz w:val="24"/>
          <w:szCs w:val="24"/>
        </w:rPr>
        <w:fldChar w:fldCharType="end"/>
      </w:r>
      <w:r w:rsidRPr="00285A46">
        <w:rPr>
          <w:rFonts w:ascii="Times New Roman" w:hAnsi="Times New Roman" w:cs="Times New Roman"/>
          <w:b w:val="0"/>
          <w:sz w:val="24"/>
          <w:szCs w:val="24"/>
        </w:rPr>
        <w:t>, 6.2.5 Рекомендаций, в отношении одной и той же процедуры закупки, не допускается».</w:t>
      </w:r>
    </w:p>
    <w:p w14:paraId="63141EAE"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p>
    <w:p w14:paraId="15E9DFA4" w14:textId="77A0AC04" w:rsidR="009C3C90" w:rsidRPr="00285A46"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В Приложении № 5 к Положению о закупке «Методические рекомендации по определению начальной (максимальной) цены договора (цены лота)» пп. 6.5(3) изложить в следующей редакции:</w:t>
      </w:r>
    </w:p>
    <w:p w14:paraId="483555AB"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«(3) сроки и формат предоставления поставщиками в адрес заказчика информации о цене на продукцию, в том числе обязательное требование о предоставлении цены на каждую единицу товара, работы, услуги, являющихся предметом закупки».</w:t>
      </w:r>
    </w:p>
    <w:p w14:paraId="412458B6" w14:textId="77777777" w:rsidR="009C3C90" w:rsidRPr="00285A46" w:rsidRDefault="009C3C90" w:rsidP="003B2C77">
      <w:pPr>
        <w:pStyle w:val="ConsPlusNormal"/>
        <w:spacing w:line="276" w:lineRule="auto"/>
        <w:ind w:left="567" w:firstLine="567"/>
        <w:jc w:val="both"/>
        <w:rPr>
          <w:rFonts w:ascii="Times New Roman" w:hAnsi="Times New Roman" w:cs="Times New Roman"/>
          <w:sz w:val="24"/>
          <w:szCs w:val="24"/>
        </w:rPr>
      </w:pPr>
    </w:p>
    <w:p w14:paraId="2A6C24EC" w14:textId="180B3D5F" w:rsidR="009C3C90" w:rsidRPr="00285A46"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В Приложении № 5 к Положению о закупке «Методические рекомендации по определению начальной (максимальной) цены договора (цены лота)» пп. 6.10 изложить</w:t>
      </w:r>
      <w:r w:rsidR="006F6335" w:rsidRPr="00285A46">
        <w:rPr>
          <w:rFonts w:ascii="Times New Roman" w:hAnsi="Times New Roman" w:cs="Times New Roman"/>
          <w:sz w:val="24"/>
          <w:szCs w:val="24"/>
        </w:rPr>
        <w:t xml:space="preserve"> в</w:t>
      </w:r>
      <w:r w:rsidRPr="00285A46">
        <w:rPr>
          <w:rFonts w:ascii="Times New Roman" w:hAnsi="Times New Roman" w:cs="Times New Roman"/>
          <w:sz w:val="24"/>
          <w:szCs w:val="24"/>
        </w:rPr>
        <w:t xml:space="preserve"> следующей редакции:</w:t>
      </w:r>
    </w:p>
    <w:p w14:paraId="11D12D4E" w14:textId="77777777" w:rsidR="009C3C90"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 xml:space="preserve">«6.10 </w:t>
      </w:r>
      <w:bookmarkStart w:id="9" w:name="_Ref442883114"/>
      <w:r w:rsidRPr="00285A46">
        <w:rPr>
          <w:rFonts w:ascii="Times New Roman" w:hAnsi="Times New Roman" w:cs="Times New Roman"/>
          <w:sz w:val="24"/>
          <w:szCs w:val="24"/>
        </w:rPr>
        <w:t>Полученные значения цен по каждой единице товара, работы, услуги, являющихся предметом закупки, проверяются с целью исключения случаев завышения или занижения НМЦ. Значения цен каждой единицы товара, работы, услуги, являющихся предметом закупки, 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9"/>
      <w:r w:rsidRPr="00285A46">
        <w:rPr>
          <w:rFonts w:ascii="Times New Roman" w:hAnsi="Times New Roman" w:cs="Times New Roman"/>
          <w:sz w:val="24"/>
          <w:szCs w:val="24"/>
        </w:rPr>
        <w:t xml:space="preserve"> После определения начальной (максимальной) цены каждой единицы товара, работы, услуги, являющихся предметом закупки, полученные значения суммируются в целях получения величины НМЦ (общей итоговой стоимости продукции), полученной в результате поиска ценовых значений».</w:t>
      </w:r>
    </w:p>
    <w:p w14:paraId="7D22B600" w14:textId="77777777" w:rsidR="00226E97" w:rsidRDefault="00226E97" w:rsidP="003B2C77">
      <w:pPr>
        <w:pStyle w:val="ConsPlusNormal"/>
        <w:spacing w:line="276" w:lineRule="auto"/>
        <w:ind w:firstLine="567"/>
        <w:jc w:val="both"/>
        <w:rPr>
          <w:rFonts w:ascii="Times New Roman" w:hAnsi="Times New Roman" w:cs="Times New Roman"/>
          <w:sz w:val="24"/>
          <w:szCs w:val="24"/>
        </w:rPr>
      </w:pPr>
    </w:p>
    <w:p w14:paraId="1FEDB080" w14:textId="567D61B6" w:rsidR="00226E97" w:rsidRPr="00226E97" w:rsidRDefault="00226E97" w:rsidP="00226E97">
      <w:pPr>
        <w:pStyle w:val="ConsPlusNormal"/>
        <w:numPr>
          <w:ilvl w:val="0"/>
          <w:numId w:val="6"/>
        </w:numPr>
        <w:spacing w:line="276" w:lineRule="auto"/>
        <w:ind w:left="0" w:firstLine="567"/>
        <w:jc w:val="both"/>
        <w:rPr>
          <w:rFonts w:ascii="Times New Roman" w:hAnsi="Times New Roman" w:cs="Times New Roman"/>
          <w:sz w:val="24"/>
          <w:szCs w:val="24"/>
        </w:rPr>
      </w:pPr>
      <w:bookmarkStart w:id="10" w:name="_Ref443475093"/>
      <w:r w:rsidRPr="00285A46">
        <w:rPr>
          <w:rFonts w:ascii="Times New Roman" w:hAnsi="Times New Roman" w:cs="Times New Roman"/>
          <w:sz w:val="24"/>
          <w:szCs w:val="24"/>
        </w:rPr>
        <w:t>В Приложении № 5 к Положению о закупке «Методические рекомендации по определению начальной (максимальной) цены договора (цены лота)» пп. 6.1</w:t>
      </w:r>
      <w:r>
        <w:rPr>
          <w:rFonts w:ascii="Times New Roman" w:hAnsi="Times New Roman" w:cs="Times New Roman"/>
          <w:sz w:val="24"/>
          <w:szCs w:val="24"/>
        </w:rPr>
        <w:t>1</w:t>
      </w:r>
      <w:r w:rsidRPr="00285A46">
        <w:rPr>
          <w:rFonts w:ascii="Times New Roman" w:hAnsi="Times New Roman" w:cs="Times New Roman"/>
          <w:sz w:val="24"/>
          <w:szCs w:val="24"/>
        </w:rPr>
        <w:t xml:space="preserve"> изложить в следующей редакции:</w:t>
      </w:r>
      <w:r w:rsidRPr="00226E97">
        <w:rPr>
          <w:rFonts w:ascii="Times New Roman" w:hAnsi="Times New Roman" w:cs="Times New Roman"/>
          <w:sz w:val="24"/>
          <w:szCs w:val="24"/>
        </w:rPr>
        <w:t xml:space="preserve"> </w:t>
      </w:r>
    </w:p>
    <w:p w14:paraId="07E81D28" w14:textId="3427B39D" w:rsidR="00226E97" w:rsidRPr="00226E97" w:rsidRDefault="00226E97" w:rsidP="00226E97">
      <w:pPr>
        <w:pStyle w:val="ConsPlusNormal"/>
        <w:spacing w:line="276" w:lineRule="auto"/>
        <w:ind w:firstLine="567"/>
        <w:jc w:val="both"/>
        <w:rPr>
          <w:rFonts w:ascii="Times New Roman" w:hAnsi="Times New Roman" w:cs="Times New Roman"/>
          <w:sz w:val="24"/>
          <w:szCs w:val="24"/>
        </w:rPr>
      </w:pPr>
      <w:r w:rsidRPr="00226E97">
        <w:rPr>
          <w:rFonts w:ascii="Times New Roman" w:hAnsi="Times New Roman" w:cs="Times New Roman"/>
          <w:sz w:val="24"/>
          <w:szCs w:val="24"/>
        </w:rPr>
        <w:t>«В случае выявления значений цен единицы продукции, являющейся предметом закупки, которые отличаются более чем на 33% от средней арифметической величины полученных значений цен единицы продукции, являющейся предметом закупки, Исполнитель расчета исключает из расчета значение цены единицы продукции, 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 </w:t>
      </w:r>
      <w:r w:rsidRPr="00226E97">
        <w:rPr>
          <w:rFonts w:ascii="Times New Roman" w:hAnsi="Times New Roman" w:cs="Times New Roman"/>
          <w:sz w:val="24"/>
          <w:szCs w:val="24"/>
        </w:rPr>
        <w:fldChar w:fldCharType="begin"/>
      </w:r>
      <w:r w:rsidRPr="00226E97">
        <w:rPr>
          <w:rFonts w:ascii="Times New Roman" w:hAnsi="Times New Roman" w:cs="Times New Roman"/>
          <w:sz w:val="24"/>
          <w:szCs w:val="24"/>
        </w:rPr>
        <w:instrText>REF _Ref442883114 \r \h</w:instrText>
      </w:r>
      <w:r>
        <w:rPr>
          <w:rFonts w:ascii="Times New Roman" w:hAnsi="Times New Roman" w:cs="Times New Roman"/>
          <w:sz w:val="24"/>
          <w:szCs w:val="24"/>
        </w:rPr>
        <w:instrText xml:space="preserve"> \* MERGEFORMAT </w:instrText>
      </w:r>
      <w:r w:rsidRPr="00226E97">
        <w:rPr>
          <w:rFonts w:ascii="Times New Roman" w:hAnsi="Times New Roman" w:cs="Times New Roman"/>
          <w:sz w:val="24"/>
          <w:szCs w:val="24"/>
        </w:rPr>
      </w:r>
      <w:r w:rsidRPr="00226E97">
        <w:rPr>
          <w:rFonts w:ascii="Times New Roman" w:hAnsi="Times New Roman" w:cs="Times New Roman"/>
          <w:sz w:val="24"/>
          <w:szCs w:val="24"/>
        </w:rPr>
        <w:fldChar w:fldCharType="separate"/>
      </w:r>
      <w:r w:rsidRPr="00226E97">
        <w:rPr>
          <w:rFonts w:ascii="Times New Roman" w:hAnsi="Times New Roman" w:cs="Times New Roman"/>
          <w:sz w:val="24"/>
          <w:szCs w:val="24"/>
        </w:rPr>
        <w:t>6.10</w:t>
      </w:r>
      <w:r w:rsidRPr="00226E97">
        <w:rPr>
          <w:rFonts w:ascii="Times New Roman" w:hAnsi="Times New Roman" w:cs="Times New Roman"/>
          <w:sz w:val="24"/>
          <w:szCs w:val="24"/>
        </w:rPr>
        <w:fldChar w:fldCharType="end"/>
      </w:r>
      <w:r w:rsidRPr="00226E97">
        <w:rPr>
          <w:rFonts w:ascii="Times New Roman" w:hAnsi="Times New Roman" w:cs="Times New Roman"/>
          <w:sz w:val="24"/>
          <w:szCs w:val="24"/>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продукции от разных поставщиков, то Исполнитель расчета в целях повторного расчета НМЦ осуществляет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после дополнительного поиска проверяются в порядке, установленном в п. </w:t>
      </w:r>
      <w:r>
        <w:rPr>
          <w:rFonts w:ascii="Times New Roman" w:hAnsi="Times New Roman" w:cs="Times New Roman"/>
          <w:sz w:val="24"/>
          <w:szCs w:val="24"/>
        </w:rPr>
        <w:t xml:space="preserve">6.10 </w:t>
      </w:r>
      <w:r w:rsidRPr="00226E97">
        <w:rPr>
          <w:rFonts w:ascii="Times New Roman" w:hAnsi="Times New Roman" w:cs="Times New Roman"/>
          <w:sz w:val="24"/>
          <w:szCs w:val="24"/>
        </w:rPr>
        <w:t>Рекомендаций, вместе с ценовыми значениями, полученными ранее (кроме исключенного).</w:t>
      </w:r>
      <w:bookmarkEnd w:id="10"/>
    </w:p>
    <w:p w14:paraId="37AD216D" w14:textId="77777777" w:rsidR="00226E97" w:rsidRPr="00285A46" w:rsidRDefault="00226E97" w:rsidP="003B2C77">
      <w:pPr>
        <w:pStyle w:val="ConsPlusNormal"/>
        <w:spacing w:line="276" w:lineRule="auto"/>
        <w:ind w:firstLine="567"/>
        <w:jc w:val="both"/>
        <w:rPr>
          <w:rFonts w:ascii="Times New Roman" w:hAnsi="Times New Roman" w:cs="Times New Roman"/>
          <w:sz w:val="24"/>
          <w:szCs w:val="24"/>
        </w:rPr>
      </w:pPr>
    </w:p>
    <w:p w14:paraId="12824E78" w14:textId="61264040" w:rsidR="009C3C90"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В Приложении № 5 к Положению о закупке «Методические рекомендации по определению начальной (максимальной) цены договора (цены лота)» сноску 5 к пп. 6.10 исключить.</w:t>
      </w:r>
    </w:p>
    <w:p w14:paraId="3661E71D" w14:textId="77777777" w:rsidR="00226E97" w:rsidRDefault="00226E97" w:rsidP="00362E76">
      <w:pPr>
        <w:pStyle w:val="ConsPlusNormal"/>
        <w:spacing w:line="276" w:lineRule="auto"/>
        <w:ind w:firstLine="567"/>
        <w:jc w:val="both"/>
        <w:rPr>
          <w:rFonts w:ascii="Times New Roman" w:hAnsi="Times New Roman" w:cs="Times New Roman"/>
          <w:sz w:val="24"/>
          <w:szCs w:val="24"/>
        </w:rPr>
      </w:pPr>
    </w:p>
    <w:p w14:paraId="1E827B4B" w14:textId="77777777" w:rsidR="00362E76" w:rsidRDefault="00226E97" w:rsidP="00362E76">
      <w:pPr>
        <w:pStyle w:val="ConsPlusNormal"/>
        <w:numPr>
          <w:ilvl w:val="0"/>
          <w:numId w:val="6"/>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В Приложении</w:t>
      </w:r>
      <w:r w:rsidRPr="00285A46">
        <w:rPr>
          <w:rFonts w:ascii="Times New Roman" w:hAnsi="Times New Roman" w:cs="Times New Roman"/>
          <w:sz w:val="24"/>
          <w:szCs w:val="24"/>
        </w:rPr>
        <w:t xml:space="preserve"> № 5 к Положению о закупке «Методические рекомендации по определению начальной (максимальной) цены договора (цены лота)» пп. </w:t>
      </w:r>
      <w:r>
        <w:rPr>
          <w:rFonts w:ascii="Times New Roman" w:hAnsi="Times New Roman" w:cs="Times New Roman"/>
          <w:sz w:val="24"/>
          <w:szCs w:val="24"/>
        </w:rPr>
        <w:t>6</w:t>
      </w:r>
      <w:r w:rsidRPr="00285A46">
        <w:rPr>
          <w:rFonts w:ascii="Times New Roman" w:hAnsi="Times New Roman" w:cs="Times New Roman"/>
          <w:sz w:val="24"/>
          <w:szCs w:val="24"/>
        </w:rPr>
        <w:t>.1</w:t>
      </w:r>
      <w:r>
        <w:rPr>
          <w:rFonts w:ascii="Times New Roman" w:hAnsi="Times New Roman" w:cs="Times New Roman"/>
          <w:sz w:val="24"/>
          <w:szCs w:val="24"/>
        </w:rPr>
        <w:t>3</w:t>
      </w:r>
      <w:r w:rsidRPr="00285A46">
        <w:rPr>
          <w:rFonts w:ascii="Times New Roman" w:hAnsi="Times New Roman" w:cs="Times New Roman"/>
          <w:sz w:val="24"/>
          <w:szCs w:val="24"/>
        </w:rPr>
        <w:t xml:space="preserve"> дополнить следующ</w:t>
      </w:r>
      <w:r w:rsidR="00362E76">
        <w:rPr>
          <w:rFonts w:ascii="Times New Roman" w:hAnsi="Times New Roman" w:cs="Times New Roman"/>
          <w:sz w:val="24"/>
          <w:szCs w:val="24"/>
        </w:rPr>
        <w:t>им</w:t>
      </w:r>
    </w:p>
    <w:p w14:paraId="2F64501B" w14:textId="6857CAEF" w:rsidR="00226E97" w:rsidRPr="00285A46" w:rsidRDefault="00362E76" w:rsidP="00362E76">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362E76">
        <w:rPr>
          <w:rFonts w:ascii="Times New Roman" w:hAnsi="Times New Roman" w:cs="Times New Roman"/>
          <w:sz w:val="24"/>
          <w:szCs w:val="24"/>
        </w:rPr>
        <w:t xml:space="preserve">При этом в случае, если при осуществлении закупки у единственного поставщика определение НМЦ осуществляется методом сопоставимых рыночных цен (анализа рынка) и единственным поставщиком, с которым заключается договор по соответствующему основанию пп. 6.6.2 Положения о закупке, представлено предложение о цене продукции  ниже величины НМЦ, рассчитанной как среднее арифметическое значение цен на продукцию, с учетом п. </w:t>
      </w:r>
      <w:r>
        <w:rPr>
          <w:rFonts w:ascii="Times New Roman" w:hAnsi="Times New Roman" w:cs="Times New Roman"/>
          <w:sz w:val="24"/>
          <w:szCs w:val="24"/>
        </w:rPr>
        <w:t>6.10</w:t>
      </w:r>
      <w:r w:rsidRPr="00362E76">
        <w:rPr>
          <w:rFonts w:ascii="Times New Roman" w:hAnsi="Times New Roman" w:cs="Times New Roman"/>
          <w:sz w:val="24"/>
          <w:szCs w:val="24"/>
        </w:rPr>
        <w:t xml:space="preserve"> и п.</w:t>
      </w:r>
      <w:r>
        <w:rPr>
          <w:rFonts w:ascii="Times New Roman" w:hAnsi="Times New Roman" w:cs="Times New Roman"/>
          <w:sz w:val="24"/>
          <w:szCs w:val="24"/>
        </w:rPr>
        <w:t xml:space="preserve"> 6.11</w:t>
      </w:r>
      <w:r w:rsidRPr="00362E76">
        <w:rPr>
          <w:rFonts w:ascii="Times New Roman" w:hAnsi="Times New Roman" w:cs="Times New Roman"/>
          <w:sz w:val="24"/>
          <w:szCs w:val="24"/>
        </w:rPr>
        <w:t xml:space="preserve"> Рекомендаций, НМЦ определяется в размере предложения такого единственного поставщика</w:t>
      </w:r>
      <w:r>
        <w:rPr>
          <w:rFonts w:ascii="Times New Roman" w:hAnsi="Times New Roman" w:cs="Times New Roman"/>
          <w:sz w:val="24"/>
          <w:szCs w:val="24"/>
        </w:rPr>
        <w:t>».</w:t>
      </w:r>
    </w:p>
    <w:p w14:paraId="2C08FB8E"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p>
    <w:p w14:paraId="6FA745A2" w14:textId="11E7D33A" w:rsidR="009C3C90" w:rsidRPr="00285A46"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Приложение № 5 к Положению о закупке «Методические рекомендации по определению начальной (максимальной) цены договора (цены лота)» дополнить пп. 9.11 следующего содержания:</w:t>
      </w:r>
    </w:p>
    <w:p w14:paraId="7F2749E4" w14:textId="320B8546"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«9.11 При определении НМЦ проектно-сметным методом стоимостью единицы работы, услуги считается стоимость с</w:t>
      </w:r>
      <w:r w:rsidR="00226E97">
        <w:rPr>
          <w:rFonts w:ascii="Times New Roman" w:hAnsi="Times New Roman" w:cs="Times New Roman"/>
          <w:sz w:val="24"/>
          <w:szCs w:val="24"/>
        </w:rPr>
        <w:t>оответствующего</w:t>
      </w:r>
      <w:r w:rsidRPr="00285A46">
        <w:rPr>
          <w:rFonts w:ascii="Times New Roman" w:hAnsi="Times New Roman" w:cs="Times New Roman"/>
          <w:sz w:val="24"/>
          <w:szCs w:val="24"/>
        </w:rPr>
        <w:t xml:space="preserve"> вид</w:t>
      </w:r>
      <w:r w:rsidR="00226E97">
        <w:rPr>
          <w:rFonts w:ascii="Times New Roman" w:hAnsi="Times New Roman" w:cs="Times New Roman"/>
          <w:sz w:val="24"/>
          <w:szCs w:val="24"/>
        </w:rPr>
        <w:t>а</w:t>
      </w:r>
      <w:r w:rsidRPr="00285A46">
        <w:rPr>
          <w:rFonts w:ascii="Times New Roman" w:hAnsi="Times New Roman" w:cs="Times New Roman"/>
          <w:sz w:val="24"/>
          <w:szCs w:val="24"/>
        </w:rPr>
        <w:t xml:space="preserve"> работ, услуг,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214A9B5A"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p>
    <w:p w14:paraId="46369859" w14:textId="1AD2CE27" w:rsidR="009C3C90" w:rsidRPr="00285A46"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В Приложении № 5 к Положению о закупке «Методические рекомендации по определению начальной (максимальной) цены договора (цены лота)» пп. 10.6 изложить в следующей редакции:</w:t>
      </w:r>
    </w:p>
    <w:p w14:paraId="377F6134"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«10.6 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с обязательным указанием начальной (максимальной) цены каждой единицы товара, работы, услуги, являющихся предметом закупки, 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2CC0DDAF"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(1) 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E055B96"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(2) 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2E97819B"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(3) невозможность применения иных методов расчета НМЦ».</w:t>
      </w:r>
    </w:p>
    <w:p w14:paraId="0553D162" w14:textId="77777777" w:rsidR="009C3C90" w:rsidRPr="00285A46" w:rsidRDefault="009C3C90" w:rsidP="003B2C77">
      <w:pPr>
        <w:pStyle w:val="ConsPlusNormal"/>
        <w:spacing w:line="276" w:lineRule="auto"/>
        <w:ind w:firstLine="567"/>
        <w:jc w:val="both"/>
        <w:rPr>
          <w:rFonts w:ascii="Times New Roman" w:hAnsi="Times New Roman" w:cs="Times New Roman"/>
          <w:sz w:val="24"/>
          <w:szCs w:val="24"/>
        </w:rPr>
      </w:pPr>
    </w:p>
    <w:p w14:paraId="0BF4F766" w14:textId="31CE975B" w:rsidR="007C5E80" w:rsidRDefault="007C5E80" w:rsidP="003B2C77">
      <w:pPr>
        <w:pStyle w:val="ConsPlusNormal"/>
        <w:numPr>
          <w:ilvl w:val="0"/>
          <w:numId w:val="6"/>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Приложении № 1 </w:t>
      </w:r>
      <w:r w:rsidRPr="00285A46">
        <w:rPr>
          <w:rFonts w:ascii="Times New Roman" w:hAnsi="Times New Roman" w:cs="Times New Roman"/>
          <w:sz w:val="24"/>
          <w:szCs w:val="24"/>
        </w:rPr>
        <w:t>Приложению № 5 к Положению о закупке «Методические рекомендации по определению начальной (максимальной) цены договора (цены лота)»</w:t>
      </w:r>
      <w:r>
        <w:rPr>
          <w:rFonts w:ascii="Times New Roman" w:hAnsi="Times New Roman" w:cs="Times New Roman"/>
          <w:sz w:val="24"/>
          <w:szCs w:val="24"/>
        </w:rPr>
        <w:t xml:space="preserve"> лист проверки расчета изложить в следующей редакции:</w:t>
      </w:r>
    </w:p>
    <w:p w14:paraId="21F2E60D" w14:textId="77777777" w:rsidR="007C5E80" w:rsidRDefault="007C5E80" w:rsidP="007C5E80">
      <w:pPr>
        <w:pStyle w:val="ConsPlusNormal"/>
        <w:spacing w:line="276" w:lineRule="auto"/>
        <w:ind w:left="567"/>
        <w:jc w:val="both"/>
        <w:rPr>
          <w:rFonts w:ascii="Times New Roman" w:hAnsi="Times New Roman" w:cs="Times New Roman"/>
          <w:sz w:val="24"/>
          <w:szCs w:val="24"/>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7C5E80" w:rsidRPr="007C5E80" w14:paraId="2BF630BC" w14:textId="77777777" w:rsidTr="006977F5">
        <w:trPr>
          <w:jc w:val="center"/>
        </w:trPr>
        <w:tc>
          <w:tcPr>
            <w:tcW w:w="5088" w:type="dxa"/>
          </w:tcPr>
          <w:p w14:paraId="01182246" w14:textId="6A023FB9"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Расчет проверен: [</w:t>
            </w:r>
            <w:r w:rsidRPr="007C5E80">
              <w:rPr>
                <w:rFonts w:ascii="Times New Roman" w:hAnsi="Times New Roman" w:cs="Times New Roman"/>
                <w:i/>
                <w:sz w:val="24"/>
                <w:szCs w:val="24"/>
              </w:rPr>
              <w:t>указывается информация о лице, осуществившем проверку расчета,</w:t>
            </w:r>
            <w:r w:rsidRPr="007C5E80">
              <w:rPr>
                <w:rFonts w:ascii="Times New Roman" w:hAnsi="Times New Roman" w:cs="Times New Roman"/>
                <w:sz w:val="24"/>
                <w:szCs w:val="24"/>
              </w:rPr>
              <w:t>]</w:t>
            </w:r>
          </w:p>
          <w:p w14:paraId="15E794F3"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Расчет проведен в соответствии с Методическими рекомендациями по определению начальной (максимальной) цены договора (цены лота).</w:t>
            </w:r>
          </w:p>
          <w:p w14:paraId="7049E69F"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Рассчитанная НМЦ соответствует/не соответствует [</w:t>
            </w:r>
            <w:r w:rsidRPr="007C5E80">
              <w:rPr>
                <w:rFonts w:ascii="Times New Roman" w:hAnsi="Times New Roman" w:cs="Times New Roman"/>
                <w:i/>
                <w:sz w:val="24"/>
                <w:szCs w:val="24"/>
              </w:rPr>
              <w:t>указывается необходимое</w:t>
            </w:r>
            <w:r w:rsidRPr="007C5E80">
              <w:rPr>
                <w:rFonts w:ascii="Times New Roman" w:hAnsi="Times New Roman" w:cs="Times New Roman"/>
                <w:sz w:val="24"/>
                <w:szCs w:val="24"/>
              </w:rPr>
              <w:t>] рыночным показателям.</w:t>
            </w:r>
          </w:p>
          <w:p w14:paraId="5E215DE1" w14:textId="77777777" w:rsidR="007C5E80" w:rsidRPr="007C5E80" w:rsidRDefault="007C5E80" w:rsidP="006977F5">
            <w:pPr>
              <w:spacing w:after="0" w:line="240" w:lineRule="auto"/>
              <w:rPr>
                <w:rFonts w:ascii="Times New Roman" w:hAnsi="Times New Roman" w:cs="Times New Roman"/>
                <w:sz w:val="24"/>
                <w:szCs w:val="24"/>
              </w:rPr>
            </w:pPr>
          </w:p>
          <w:p w14:paraId="411B6990" w14:textId="77777777" w:rsidR="007C5E80" w:rsidRPr="007C5E80" w:rsidRDefault="007C5E80" w:rsidP="006977F5">
            <w:pPr>
              <w:spacing w:after="0" w:line="240" w:lineRule="auto"/>
              <w:rPr>
                <w:rFonts w:ascii="Times New Roman" w:hAnsi="Times New Roman" w:cs="Times New Roman"/>
                <w:sz w:val="24"/>
                <w:szCs w:val="24"/>
              </w:rPr>
            </w:pPr>
          </w:p>
          <w:p w14:paraId="53AD9792" w14:textId="77777777" w:rsidR="007C5E80" w:rsidRPr="007C5E80" w:rsidRDefault="007C5E80" w:rsidP="006977F5">
            <w:pPr>
              <w:spacing w:after="0" w:line="240" w:lineRule="auto"/>
              <w:rPr>
                <w:rFonts w:ascii="Times New Roman" w:hAnsi="Times New Roman" w:cs="Times New Roman"/>
                <w:sz w:val="24"/>
                <w:szCs w:val="24"/>
              </w:rPr>
            </w:pPr>
          </w:p>
          <w:p w14:paraId="459CA936"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_______________________________________</w:t>
            </w:r>
          </w:p>
          <w:p w14:paraId="2614490C" w14:textId="77777777" w:rsidR="007C5E80" w:rsidRPr="007C5E80" w:rsidRDefault="007C5E80" w:rsidP="006977F5">
            <w:pPr>
              <w:spacing w:after="0" w:line="240" w:lineRule="auto"/>
              <w:rPr>
                <w:rFonts w:ascii="Times New Roman" w:hAnsi="Times New Roman" w:cs="Times New Roman"/>
                <w:sz w:val="24"/>
                <w:szCs w:val="24"/>
                <w:vertAlign w:val="superscript"/>
              </w:rPr>
            </w:pPr>
            <w:r w:rsidRPr="007C5E80">
              <w:rPr>
                <w:rFonts w:ascii="Times New Roman" w:hAnsi="Times New Roman" w:cs="Times New Roman"/>
                <w:sz w:val="24"/>
                <w:szCs w:val="24"/>
                <w:vertAlign w:val="superscript"/>
              </w:rPr>
              <w:t>(Ф.И.О., должность, контактный телефон)</w:t>
            </w:r>
          </w:p>
          <w:p w14:paraId="73430F53" w14:textId="77777777" w:rsidR="007C5E80" w:rsidRPr="007C5E80" w:rsidRDefault="007C5E80" w:rsidP="006977F5">
            <w:pPr>
              <w:spacing w:after="0" w:line="240" w:lineRule="auto"/>
              <w:rPr>
                <w:rFonts w:ascii="Times New Roman" w:hAnsi="Times New Roman" w:cs="Times New Roman"/>
                <w:sz w:val="24"/>
                <w:szCs w:val="24"/>
                <w:vertAlign w:val="superscript"/>
              </w:rPr>
            </w:pPr>
          </w:p>
          <w:p w14:paraId="6EAFC54E"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"__" ______________ 20__ г.</w:t>
            </w:r>
          </w:p>
          <w:p w14:paraId="68313FBD"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vertAlign w:val="superscript"/>
              </w:rPr>
              <w:t>(дата проверки расчета НМЦ)</w:t>
            </w:r>
          </w:p>
        </w:tc>
        <w:tc>
          <w:tcPr>
            <w:tcW w:w="5041" w:type="dxa"/>
          </w:tcPr>
          <w:p w14:paraId="44671FFC" w14:textId="735397D6"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СОГЛАСОВАНО: [</w:t>
            </w:r>
            <w:r w:rsidRPr="007C5E80">
              <w:rPr>
                <w:rFonts w:ascii="Times New Roman" w:hAnsi="Times New Roman" w:cs="Times New Roman"/>
                <w:i/>
                <w:sz w:val="24"/>
                <w:szCs w:val="24"/>
              </w:rPr>
              <w:t>указывается информация о лице, осуществившем проверку информации,</w:t>
            </w:r>
            <w:r w:rsidRPr="007C5E80">
              <w:rPr>
                <w:rFonts w:ascii="Times New Roman" w:hAnsi="Times New Roman" w:cs="Times New Roman"/>
                <w:sz w:val="24"/>
                <w:szCs w:val="24"/>
              </w:rPr>
              <w:t>]</w:t>
            </w:r>
          </w:p>
          <w:p w14:paraId="4342D6B8"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Информация проверена в соответствии с Регламентом взаимодействия, внутренними распорядительными документами, правовыми актами Заказчика.</w:t>
            </w:r>
          </w:p>
          <w:p w14:paraId="76343851" w14:textId="77777777" w:rsidR="007C5E80" w:rsidRPr="007C5E80" w:rsidRDefault="007C5E80" w:rsidP="006977F5">
            <w:pPr>
              <w:spacing w:after="0" w:line="240" w:lineRule="auto"/>
              <w:rPr>
                <w:rFonts w:ascii="Times New Roman" w:hAnsi="Times New Roman" w:cs="Times New Roman"/>
                <w:sz w:val="24"/>
                <w:szCs w:val="24"/>
              </w:rPr>
            </w:pPr>
          </w:p>
          <w:p w14:paraId="4C6175B5" w14:textId="77777777" w:rsidR="007C5E80" w:rsidRPr="007C5E80" w:rsidRDefault="007C5E80" w:rsidP="006977F5">
            <w:pPr>
              <w:spacing w:after="0" w:line="240" w:lineRule="auto"/>
              <w:rPr>
                <w:rFonts w:ascii="Times New Roman" w:hAnsi="Times New Roman" w:cs="Times New Roman"/>
                <w:sz w:val="24"/>
                <w:szCs w:val="24"/>
              </w:rPr>
            </w:pPr>
          </w:p>
          <w:p w14:paraId="51ED8B60" w14:textId="77777777" w:rsidR="007C5E80" w:rsidRPr="007C5E80" w:rsidRDefault="007C5E80" w:rsidP="006977F5">
            <w:pPr>
              <w:spacing w:after="0" w:line="240" w:lineRule="auto"/>
              <w:rPr>
                <w:rFonts w:ascii="Times New Roman" w:hAnsi="Times New Roman" w:cs="Times New Roman"/>
                <w:sz w:val="24"/>
                <w:szCs w:val="24"/>
              </w:rPr>
            </w:pPr>
          </w:p>
          <w:p w14:paraId="2108CDEC" w14:textId="77777777" w:rsidR="007C5E80" w:rsidRPr="007C5E80" w:rsidRDefault="007C5E80" w:rsidP="006977F5">
            <w:pPr>
              <w:spacing w:after="0" w:line="240" w:lineRule="auto"/>
              <w:rPr>
                <w:rFonts w:ascii="Times New Roman" w:hAnsi="Times New Roman" w:cs="Times New Roman"/>
                <w:sz w:val="24"/>
                <w:szCs w:val="24"/>
              </w:rPr>
            </w:pPr>
          </w:p>
          <w:p w14:paraId="69D0ADB9" w14:textId="77777777" w:rsidR="007C5E80" w:rsidRPr="007C5E80" w:rsidRDefault="007C5E80" w:rsidP="006977F5">
            <w:pPr>
              <w:spacing w:after="0" w:line="240" w:lineRule="auto"/>
              <w:rPr>
                <w:rFonts w:ascii="Times New Roman" w:hAnsi="Times New Roman" w:cs="Times New Roman"/>
                <w:sz w:val="24"/>
                <w:szCs w:val="24"/>
              </w:rPr>
            </w:pPr>
          </w:p>
          <w:p w14:paraId="05A58DFE"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_______________________________________</w:t>
            </w:r>
          </w:p>
          <w:p w14:paraId="3B44FF72" w14:textId="77777777" w:rsidR="007C5E80" w:rsidRPr="007C5E80" w:rsidRDefault="007C5E80" w:rsidP="006977F5">
            <w:pPr>
              <w:spacing w:after="0" w:line="240" w:lineRule="auto"/>
              <w:rPr>
                <w:rFonts w:ascii="Times New Roman" w:hAnsi="Times New Roman" w:cs="Times New Roman"/>
                <w:sz w:val="24"/>
                <w:szCs w:val="24"/>
                <w:vertAlign w:val="superscript"/>
              </w:rPr>
            </w:pPr>
            <w:r w:rsidRPr="007C5E80">
              <w:rPr>
                <w:rFonts w:ascii="Times New Roman" w:hAnsi="Times New Roman" w:cs="Times New Roman"/>
                <w:sz w:val="24"/>
                <w:szCs w:val="24"/>
                <w:vertAlign w:val="superscript"/>
              </w:rPr>
              <w:t>(Ф.И.О., должность, контактный телефон)</w:t>
            </w:r>
          </w:p>
          <w:p w14:paraId="61089EC4" w14:textId="77777777" w:rsidR="007C5E80" w:rsidRPr="007C5E80" w:rsidRDefault="007C5E80" w:rsidP="006977F5">
            <w:pPr>
              <w:spacing w:after="0" w:line="240" w:lineRule="auto"/>
              <w:rPr>
                <w:rFonts w:ascii="Times New Roman" w:hAnsi="Times New Roman" w:cs="Times New Roman"/>
                <w:sz w:val="24"/>
                <w:szCs w:val="24"/>
                <w:vertAlign w:val="superscript"/>
              </w:rPr>
            </w:pPr>
          </w:p>
          <w:p w14:paraId="22BFA3B1"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rPr>
              <w:t>"__" ______________ 20__ г.</w:t>
            </w:r>
          </w:p>
          <w:p w14:paraId="2CF772A7" w14:textId="77777777" w:rsidR="007C5E80" w:rsidRPr="007C5E80" w:rsidRDefault="007C5E80" w:rsidP="006977F5">
            <w:pPr>
              <w:spacing w:after="0" w:line="240" w:lineRule="auto"/>
              <w:rPr>
                <w:rFonts w:ascii="Times New Roman" w:hAnsi="Times New Roman" w:cs="Times New Roman"/>
                <w:sz w:val="24"/>
                <w:szCs w:val="24"/>
              </w:rPr>
            </w:pPr>
            <w:r w:rsidRPr="007C5E80">
              <w:rPr>
                <w:rFonts w:ascii="Times New Roman" w:hAnsi="Times New Roman" w:cs="Times New Roman"/>
                <w:sz w:val="24"/>
                <w:szCs w:val="24"/>
                <w:vertAlign w:val="superscript"/>
              </w:rPr>
              <w:t>(дата проверки информации НМЦ)</w:t>
            </w:r>
          </w:p>
        </w:tc>
      </w:tr>
    </w:tbl>
    <w:p w14:paraId="42882E62" w14:textId="77777777" w:rsidR="007C5E80" w:rsidRDefault="007C5E80" w:rsidP="007C5E80">
      <w:pPr>
        <w:pStyle w:val="ConsPlusNormal"/>
        <w:spacing w:line="276" w:lineRule="auto"/>
        <w:ind w:left="567"/>
        <w:jc w:val="both"/>
        <w:rPr>
          <w:rFonts w:ascii="Times New Roman" w:hAnsi="Times New Roman" w:cs="Times New Roman"/>
          <w:sz w:val="24"/>
          <w:szCs w:val="24"/>
        </w:rPr>
      </w:pPr>
    </w:p>
    <w:p w14:paraId="5FEBDDC0" w14:textId="5F1857CD" w:rsidR="007C5E80" w:rsidRDefault="007C5E80" w:rsidP="003B2C77">
      <w:pPr>
        <w:pStyle w:val="ConsPlusNormal"/>
        <w:numPr>
          <w:ilvl w:val="0"/>
          <w:numId w:val="6"/>
        </w:numPr>
        <w:spacing w:line="276"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Приложение № 1 </w:t>
      </w:r>
      <w:r w:rsidRPr="00285A46">
        <w:rPr>
          <w:rFonts w:ascii="Times New Roman" w:hAnsi="Times New Roman" w:cs="Times New Roman"/>
          <w:sz w:val="24"/>
          <w:szCs w:val="24"/>
        </w:rPr>
        <w:t>Приложению № 5 к Положению о закупке «Методические рекомендации по определению начальной (максимальной) цены договора (цены лота)»</w:t>
      </w:r>
      <w:r>
        <w:rPr>
          <w:rFonts w:ascii="Times New Roman" w:hAnsi="Times New Roman" w:cs="Times New Roman"/>
          <w:sz w:val="24"/>
          <w:szCs w:val="24"/>
        </w:rPr>
        <w:t xml:space="preserve"> дополнить примечаниями 14, 15 следующего содержания: «</w:t>
      </w:r>
      <w:r w:rsidRPr="007C5E80">
        <w:rPr>
          <w:rFonts w:ascii="Times New Roman" w:hAnsi="Times New Roman" w:cs="Times New Roman"/>
          <w:sz w:val="24"/>
          <w:szCs w:val="24"/>
        </w:rPr>
        <w:t>Определяется регламентами взаимодействия, внутренними распорядительными документами, правовыми актами Заказчика.</w:t>
      </w:r>
      <w:r>
        <w:rPr>
          <w:rFonts w:ascii="Times New Roman" w:hAnsi="Times New Roman" w:cs="Times New Roman"/>
          <w:sz w:val="24"/>
          <w:szCs w:val="24"/>
        </w:rPr>
        <w:t>».</w:t>
      </w:r>
    </w:p>
    <w:p w14:paraId="4FC3C05F" w14:textId="77777777" w:rsidR="007C5E80" w:rsidRDefault="007C5E80" w:rsidP="007C5E80">
      <w:pPr>
        <w:pStyle w:val="ConsPlusNormal"/>
        <w:spacing w:line="276" w:lineRule="auto"/>
        <w:ind w:left="567"/>
        <w:jc w:val="both"/>
        <w:rPr>
          <w:rFonts w:ascii="Times New Roman" w:hAnsi="Times New Roman" w:cs="Times New Roman"/>
          <w:sz w:val="24"/>
          <w:szCs w:val="24"/>
        </w:rPr>
      </w:pPr>
    </w:p>
    <w:p w14:paraId="7B94474F" w14:textId="71B3FA78" w:rsidR="009C3C90" w:rsidRPr="00285A46" w:rsidRDefault="009C3C90" w:rsidP="003B2C7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 xml:space="preserve">В Приложениях 1.1, 1.2, 1.3, </w:t>
      </w:r>
      <w:r w:rsidR="00226E97">
        <w:rPr>
          <w:rFonts w:ascii="Times New Roman" w:hAnsi="Times New Roman" w:cs="Times New Roman"/>
          <w:sz w:val="24"/>
          <w:szCs w:val="24"/>
        </w:rPr>
        <w:t xml:space="preserve">1.4 </w:t>
      </w:r>
      <w:r w:rsidRPr="00285A46">
        <w:rPr>
          <w:rFonts w:ascii="Times New Roman" w:hAnsi="Times New Roman" w:cs="Times New Roman"/>
          <w:sz w:val="24"/>
          <w:szCs w:val="24"/>
        </w:rPr>
        <w:t>Приложении №2 (в форме ответа с предоставлением ценовой информации) к Приложению № 5 к Положению о закупке «Методические рекомендации по определению начальной (максимальной) цены договора (цены лота)» вместо слов «Наименование товара, работы, услуги» читать «Наименование каждой единицы товара, работы, услуги»</w:t>
      </w:r>
      <w:r w:rsidR="003B2C77" w:rsidRPr="00285A46">
        <w:rPr>
          <w:rFonts w:ascii="Times New Roman" w:hAnsi="Times New Roman" w:cs="Times New Roman"/>
          <w:sz w:val="24"/>
          <w:szCs w:val="24"/>
        </w:rPr>
        <w:t>.</w:t>
      </w:r>
    </w:p>
    <w:p w14:paraId="713EEE21" w14:textId="77777777" w:rsidR="003B2C77" w:rsidRPr="00285A46" w:rsidRDefault="003B2C77" w:rsidP="003B2C77">
      <w:pPr>
        <w:pStyle w:val="ConsPlusNormal"/>
        <w:spacing w:line="276" w:lineRule="auto"/>
        <w:ind w:left="207"/>
        <w:jc w:val="both"/>
        <w:rPr>
          <w:rFonts w:ascii="Times New Roman" w:hAnsi="Times New Roman" w:cs="Times New Roman"/>
          <w:sz w:val="24"/>
          <w:szCs w:val="24"/>
        </w:rPr>
      </w:pPr>
    </w:p>
    <w:p w14:paraId="1DB189BF" w14:textId="77777777" w:rsidR="003803B7" w:rsidRPr="00285A46" w:rsidRDefault="003803B7" w:rsidP="003803B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В Приложении 2 к Положению о закупке строки «Предельный размер НМЦ» и «Условия применения способа закупки» для способа «Запрос предложений» изложить в следующей редакции:</w:t>
      </w:r>
    </w:p>
    <w:p w14:paraId="47EAFB87" w14:textId="77777777" w:rsidR="003803B7" w:rsidRPr="00285A46" w:rsidRDefault="003803B7" w:rsidP="003803B7">
      <w:pPr>
        <w:pStyle w:val="ConsPlusNormal"/>
        <w:spacing w:line="276" w:lineRule="auto"/>
        <w:ind w:left="207"/>
        <w:jc w:val="both"/>
        <w:rPr>
          <w:rFonts w:ascii="Times New Roman" w:hAnsi="Times New Roman" w:cs="Times New Roman"/>
          <w:sz w:val="24"/>
          <w:szCs w:val="24"/>
        </w:rPr>
      </w:pPr>
    </w:p>
    <w:tbl>
      <w:tblPr>
        <w:tblStyle w:val="af"/>
        <w:tblW w:w="9675" w:type="dxa"/>
        <w:tblInd w:w="-34" w:type="dxa"/>
        <w:tblLayout w:type="fixed"/>
        <w:tblLook w:val="04A0" w:firstRow="1" w:lastRow="0" w:firstColumn="1" w:lastColumn="0" w:noHBand="0" w:noVBand="1"/>
      </w:tblPr>
      <w:tblGrid>
        <w:gridCol w:w="2583"/>
        <w:gridCol w:w="7092"/>
      </w:tblGrid>
      <w:tr w:rsidR="003803B7" w:rsidRPr="00285A46" w14:paraId="4E141FB3" w14:textId="77777777" w:rsidTr="003803B7">
        <w:tc>
          <w:tcPr>
            <w:tcW w:w="2581" w:type="dxa"/>
            <w:tcBorders>
              <w:top w:val="single" w:sz="4" w:space="0" w:color="auto"/>
              <w:left w:val="single" w:sz="4" w:space="0" w:color="auto"/>
              <w:bottom w:val="single" w:sz="4" w:space="0" w:color="auto"/>
              <w:right w:val="single" w:sz="4" w:space="0" w:color="auto"/>
            </w:tcBorders>
            <w:hideMark/>
          </w:tcPr>
          <w:p w14:paraId="3EFE2E44" w14:textId="77777777" w:rsidR="003803B7" w:rsidRPr="00285A46" w:rsidRDefault="003803B7">
            <w:pPr>
              <w:pStyle w:val="4"/>
              <w:numPr>
                <w:ilvl w:val="0"/>
                <w:numId w:val="0"/>
              </w:numPr>
              <w:spacing w:before="0"/>
              <w:ind w:left="142"/>
              <w:rPr>
                <w:rFonts w:ascii="Times New Roman" w:hAnsi="Times New Roman"/>
                <w:sz w:val="24"/>
                <w:szCs w:val="24"/>
                <w:lang w:eastAsia="en-US"/>
              </w:rPr>
            </w:pPr>
            <w:r w:rsidRPr="00285A46">
              <w:rPr>
                <w:rFonts w:ascii="Times New Roman" w:hAnsi="Times New Roman"/>
                <w:sz w:val="24"/>
                <w:szCs w:val="24"/>
                <w:lang w:eastAsia="en-US"/>
              </w:rPr>
              <w:t>Предельный размер НМЦ</w:t>
            </w:r>
          </w:p>
        </w:tc>
        <w:tc>
          <w:tcPr>
            <w:tcW w:w="7087" w:type="dxa"/>
            <w:tcBorders>
              <w:top w:val="single" w:sz="4" w:space="0" w:color="auto"/>
              <w:left w:val="single" w:sz="4" w:space="0" w:color="auto"/>
              <w:bottom w:val="single" w:sz="4" w:space="0" w:color="auto"/>
              <w:right w:val="single" w:sz="4" w:space="0" w:color="auto"/>
            </w:tcBorders>
            <w:hideMark/>
          </w:tcPr>
          <w:p w14:paraId="3841C44A" w14:textId="77777777" w:rsidR="003803B7" w:rsidRPr="00285A46" w:rsidRDefault="003803B7">
            <w:pPr>
              <w:pStyle w:val="4"/>
              <w:numPr>
                <w:ilvl w:val="0"/>
                <w:numId w:val="0"/>
              </w:numPr>
              <w:spacing w:before="0"/>
              <w:rPr>
                <w:rFonts w:ascii="Times New Roman" w:hAnsi="Times New Roman"/>
                <w:sz w:val="24"/>
                <w:szCs w:val="24"/>
                <w:lang w:eastAsia="en-US"/>
              </w:rPr>
            </w:pPr>
            <w:r w:rsidRPr="00285A46">
              <w:rPr>
                <w:rFonts w:ascii="Times New Roman" w:hAnsi="Times New Roman"/>
                <w:sz w:val="24"/>
                <w:szCs w:val="24"/>
                <w:lang w:eastAsia="en-US"/>
              </w:rPr>
              <w:t>Установлен, за исключением закупок финансовых услуг согласно подп. 19.11.3 (1) Положения и закупок услуг по выбору лизингодателя согласно пп. 19.18.6(1) Положения</w:t>
            </w:r>
          </w:p>
        </w:tc>
      </w:tr>
      <w:tr w:rsidR="003803B7" w:rsidRPr="00285A46" w14:paraId="508F6E0A" w14:textId="77777777" w:rsidTr="003803B7">
        <w:tc>
          <w:tcPr>
            <w:tcW w:w="2581" w:type="dxa"/>
            <w:tcBorders>
              <w:top w:val="single" w:sz="4" w:space="0" w:color="auto"/>
              <w:left w:val="single" w:sz="4" w:space="0" w:color="auto"/>
              <w:bottom w:val="single" w:sz="4" w:space="0" w:color="auto"/>
              <w:right w:val="single" w:sz="4" w:space="0" w:color="auto"/>
            </w:tcBorders>
            <w:hideMark/>
          </w:tcPr>
          <w:p w14:paraId="7511078A" w14:textId="77777777" w:rsidR="003803B7" w:rsidRPr="00285A46" w:rsidRDefault="003803B7">
            <w:pPr>
              <w:pStyle w:val="4"/>
              <w:numPr>
                <w:ilvl w:val="0"/>
                <w:numId w:val="0"/>
              </w:numPr>
              <w:spacing w:before="0"/>
              <w:ind w:left="142"/>
              <w:rPr>
                <w:rFonts w:ascii="Times New Roman" w:hAnsi="Times New Roman"/>
                <w:sz w:val="24"/>
                <w:szCs w:val="24"/>
                <w:lang w:eastAsia="en-US"/>
              </w:rPr>
            </w:pPr>
            <w:r w:rsidRPr="00285A46">
              <w:rPr>
                <w:rFonts w:ascii="Times New Roman" w:hAnsi="Times New Roman"/>
                <w:sz w:val="24"/>
                <w:szCs w:val="24"/>
                <w:lang w:eastAsia="en-US"/>
              </w:rPr>
              <w:t>Условия применения способа закупки</w:t>
            </w:r>
          </w:p>
        </w:tc>
        <w:tc>
          <w:tcPr>
            <w:tcW w:w="7087" w:type="dxa"/>
            <w:tcBorders>
              <w:top w:val="single" w:sz="4" w:space="0" w:color="auto"/>
              <w:left w:val="single" w:sz="4" w:space="0" w:color="auto"/>
              <w:bottom w:val="single" w:sz="4" w:space="0" w:color="auto"/>
              <w:right w:val="single" w:sz="4" w:space="0" w:color="auto"/>
            </w:tcBorders>
            <w:hideMark/>
          </w:tcPr>
          <w:p w14:paraId="295B4074" w14:textId="77777777" w:rsidR="003803B7" w:rsidRPr="00285A46" w:rsidRDefault="003803B7" w:rsidP="003803B7">
            <w:pPr>
              <w:pStyle w:val="4"/>
              <w:numPr>
                <w:ilvl w:val="2"/>
                <w:numId w:val="8"/>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Запрос предложений применяется при наличии одного из следующих условий:</w:t>
            </w:r>
          </w:p>
          <w:p w14:paraId="2CC47DC8" w14:textId="77777777" w:rsidR="003803B7" w:rsidRPr="00285A46" w:rsidRDefault="003803B7" w:rsidP="003803B7">
            <w:pPr>
              <w:pStyle w:val="4"/>
              <w:numPr>
                <w:ilvl w:val="0"/>
                <w:numId w:val="11"/>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НМЦ не превышает 10 млн. руб. с НДС;</w:t>
            </w:r>
          </w:p>
          <w:p w14:paraId="091A1AC1" w14:textId="77777777" w:rsidR="003803B7" w:rsidRPr="00285A46" w:rsidRDefault="003803B7" w:rsidP="003803B7">
            <w:pPr>
              <w:pStyle w:val="4"/>
              <w:numPr>
                <w:ilvl w:val="0"/>
                <w:numId w:val="11"/>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НМЦ не превышает 20 млн. руб. с НДС (если годовая выручка заказчика за отчетный финансовый год составляет более чем 5 млрд. руб. – НМЦ не превышает 50 млн. руб. с НДС) и закупается продукция в целях исполнения обязательств по заключенному заказчиком договору с третьим лицом, при выполнении совокупности следующих условий:</w:t>
            </w:r>
          </w:p>
          <w:p w14:paraId="49812153" w14:textId="77777777" w:rsidR="003803B7" w:rsidRPr="00285A46" w:rsidRDefault="003803B7" w:rsidP="003803B7">
            <w:pPr>
              <w:pStyle w:val="6"/>
              <w:numPr>
                <w:ilvl w:val="4"/>
                <w:numId w:val="8"/>
              </w:numPr>
              <w:ind w:left="0" w:firstLine="317"/>
              <w:rPr>
                <w:rFonts w:ascii="Times New Roman" w:hAnsi="Times New Roman"/>
                <w:sz w:val="24"/>
                <w:szCs w:val="24"/>
                <w:lang w:eastAsia="en-US"/>
              </w:rPr>
            </w:pPr>
            <w:r w:rsidRPr="00285A46">
              <w:rPr>
                <w:rFonts w:ascii="Times New Roman" w:hAnsi="Times New Roman"/>
                <w:sz w:val="24"/>
                <w:szCs w:val="24"/>
                <w:lang w:eastAsia="en-US"/>
              </w:rPr>
              <w:t>применение конкурентных способов закупки, указанных в подразделах 6.2, 6.3 Положения неприемлемо, ввиду отсутствия времени на их проведение и заключение договора по итогам их проведения;</w:t>
            </w:r>
          </w:p>
          <w:p w14:paraId="79E8445E" w14:textId="77777777" w:rsidR="003803B7" w:rsidRPr="00285A46" w:rsidRDefault="003803B7" w:rsidP="003803B7">
            <w:pPr>
              <w:pStyle w:val="6"/>
              <w:numPr>
                <w:ilvl w:val="4"/>
                <w:numId w:val="8"/>
              </w:numPr>
              <w:spacing w:before="96" w:after="96"/>
              <w:ind w:left="0" w:firstLine="317"/>
              <w:rPr>
                <w:rFonts w:ascii="Times New Roman" w:hAnsi="Times New Roman"/>
                <w:sz w:val="24"/>
                <w:szCs w:val="24"/>
                <w:lang w:eastAsia="en-US"/>
              </w:rPr>
            </w:pPr>
            <w:r w:rsidRPr="00285A46">
              <w:rPr>
                <w:rFonts w:ascii="Times New Roman" w:hAnsi="Times New Roman"/>
                <w:sz w:val="24"/>
                <w:szCs w:val="24"/>
                <w:lang w:eastAsia="en-US"/>
              </w:rPr>
              <w:t>заказчик не обладает складскими запасами необходимой продукции в объеме, необходимом для исполнения обязательств (кроме случаев закупки работ / услуг)</w:t>
            </w:r>
          </w:p>
          <w:p w14:paraId="5E93B478" w14:textId="77777777" w:rsidR="003803B7" w:rsidRPr="00285A46" w:rsidRDefault="003803B7" w:rsidP="003803B7">
            <w:pPr>
              <w:pStyle w:val="4"/>
              <w:numPr>
                <w:ilvl w:val="0"/>
                <w:numId w:val="11"/>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 xml:space="preserve">если проводится запрос предложений по результатам предварительного квалификационного отбора участников закупки для серии закупок (подраздел 8.2. Положения) и НМЦ не превышает 10 млн. руб. с НДС, </w:t>
            </w:r>
          </w:p>
          <w:p w14:paraId="637F5634" w14:textId="77777777" w:rsidR="003803B7" w:rsidRPr="00285A46" w:rsidRDefault="003803B7" w:rsidP="003803B7">
            <w:pPr>
              <w:pStyle w:val="4"/>
              <w:numPr>
                <w:ilvl w:val="0"/>
                <w:numId w:val="11"/>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вне зависимости от размера НМЦ проводится запрос предложений при осуществлении закупок финансовых услуг согласно подп. 19.11.3.(1) Положения,</w:t>
            </w:r>
          </w:p>
          <w:p w14:paraId="271AF756" w14:textId="22615126" w:rsidR="003803B7" w:rsidRPr="00285A46" w:rsidRDefault="003803B7" w:rsidP="00355F70">
            <w:pPr>
              <w:pStyle w:val="4"/>
              <w:numPr>
                <w:ilvl w:val="0"/>
                <w:numId w:val="11"/>
              </w:numPr>
              <w:spacing w:beforeLines="40" w:before="96" w:afterLines="40" w:after="96"/>
              <w:ind w:left="0" w:firstLine="317"/>
              <w:rPr>
                <w:rFonts w:ascii="Times New Roman" w:hAnsi="Times New Roman"/>
                <w:sz w:val="24"/>
                <w:szCs w:val="24"/>
                <w:lang w:eastAsia="en-US"/>
              </w:rPr>
            </w:pPr>
            <w:r w:rsidRPr="00285A46">
              <w:rPr>
                <w:rFonts w:ascii="Times New Roman" w:hAnsi="Times New Roman"/>
                <w:sz w:val="24"/>
                <w:szCs w:val="24"/>
                <w:lang w:eastAsia="en-US"/>
              </w:rPr>
              <w:t>вне зависимости от размера НМЦ лизинго</w:t>
            </w:r>
            <w:r w:rsidR="00355F70" w:rsidRPr="00285A46">
              <w:rPr>
                <w:rFonts w:ascii="Times New Roman" w:hAnsi="Times New Roman"/>
                <w:sz w:val="24"/>
                <w:szCs w:val="24"/>
                <w:lang w:eastAsia="en-US"/>
              </w:rPr>
              <w:t>вой компанией (фирмой)</w:t>
            </w:r>
            <w:r w:rsidRPr="00285A46">
              <w:rPr>
                <w:rFonts w:ascii="Times New Roman" w:hAnsi="Times New Roman"/>
                <w:sz w:val="24"/>
                <w:szCs w:val="24"/>
                <w:lang w:eastAsia="en-US"/>
              </w:rPr>
              <w:t>, являющ</w:t>
            </w:r>
            <w:r w:rsidR="00355F70" w:rsidRPr="00285A46">
              <w:rPr>
                <w:rFonts w:ascii="Times New Roman" w:hAnsi="Times New Roman"/>
                <w:sz w:val="24"/>
                <w:szCs w:val="24"/>
                <w:lang w:eastAsia="en-US"/>
              </w:rPr>
              <w:t>ей</w:t>
            </w:r>
            <w:r w:rsidRPr="00285A46">
              <w:rPr>
                <w:rFonts w:ascii="Times New Roman" w:hAnsi="Times New Roman"/>
                <w:sz w:val="24"/>
                <w:szCs w:val="24"/>
                <w:lang w:eastAsia="en-US"/>
              </w:rPr>
              <w:t>ся организацией Корпорации, проводится запрос предложений при осуществлении закупок по выбору поставщика предмета лизинга согласно подп. 19.18.6(1) Положения</w:t>
            </w:r>
          </w:p>
        </w:tc>
      </w:tr>
    </w:tbl>
    <w:p w14:paraId="7CC8B8EE" w14:textId="77777777" w:rsidR="009C3C90" w:rsidRPr="00285A46" w:rsidRDefault="009C3C90" w:rsidP="003803B7">
      <w:pPr>
        <w:pStyle w:val="ConsPlusTitle"/>
        <w:spacing w:line="276" w:lineRule="auto"/>
        <w:jc w:val="both"/>
        <w:rPr>
          <w:rFonts w:ascii="Times New Roman" w:hAnsi="Times New Roman" w:cs="Times New Roman"/>
          <w:b w:val="0"/>
          <w:sz w:val="24"/>
          <w:szCs w:val="24"/>
        </w:rPr>
      </w:pPr>
    </w:p>
    <w:p w14:paraId="754F3873" w14:textId="77777777" w:rsidR="003803B7" w:rsidRPr="00285A46" w:rsidRDefault="003803B7" w:rsidP="003803B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Приложение № 6 к Положению о закупке дополнить подразделом 3.12 следующего содержания:</w:t>
      </w:r>
    </w:p>
    <w:p w14:paraId="256BFD47" w14:textId="77777777" w:rsidR="003803B7" w:rsidRPr="00285A46" w:rsidRDefault="003803B7" w:rsidP="003803B7">
      <w:pPr>
        <w:pStyle w:val="3"/>
        <w:keepNext w:val="0"/>
        <w:keepLines w:val="0"/>
        <w:widowControl w:val="0"/>
        <w:numPr>
          <w:ilvl w:val="0"/>
          <w:numId w:val="0"/>
        </w:numPr>
        <w:suppressAutoHyphens w:val="0"/>
        <w:spacing w:before="0"/>
        <w:ind w:firstLine="709"/>
        <w:rPr>
          <w:rFonts w:ascii="Times New Roman" w:hAnsi="Times New Roman"/>
          <w:sz w:val="24"/>
          <w:szCs w:val="24"/>
        </w:rPr>
      </w:pPr>
    </w:p>
    <w:p w14:paraId="7B3577CE" w14:textId="77777777" w:rsidR="003803B7" w:rsidRPr="00285A46" w:rsidRDefault="003803B7" w:rsidP="003803B7">
      <w:pPr>
        <w:pStyle w:val="3"/>
        <w:keepNext w:val="0"/>
        <w:keepLines w:val="0"/>
        <w:widowControl w:val="0"/>
        <w:numPr>
          <w:ilvl w:val="0"/>
          <w:numId w:val="0"/>
        </w:numPr>
        <w:suppressAutoHyphens w:val="0"/>
        <w:spacing w:before="0"/>
        <w:ind w:firstLine="709"/>
        <w:rPr>
          <w:rFonts w:ascii="Times New Roman" w:hAnsi="Times New Roman"/>
          <w:sz w:val="24"/>
          <w:szCs w:val="24"/>
        </w:rPr>
      </w:pPr>
      <w:r w:rsidRPr="00285A46">
        <w:rPr>
          <w:rFonts w:ascii="Times New Roman" w:hAnsi="Times New Roman"/>
          <w:sz w:val="24"/>
          <w:szCs w:val="24"/>
        </w:rPr>
        <w:t>«3.12 Особенности оценки и сопоставления заявок при проведении закупок услуг лизинга</w:t>
      </w:r>
    </w:p>
    <w:p w14:paraId="4D42068E" w14:textId="77777777" w:rsidR="003803B7" w:rsidRPr="00285A46" w:rsidRDefault="003803B7" w:rsidP="003803B7">
      <w:pPr>
        <w:spacing w:after="0"/>
        <w:ind w:firstLine="709"/>
        <w:jc w:val="both"/>
        <w:rPr>
          <w:rFonts w:ascii="Times New Roman" w:hAnsi="Times New Roman" w:cs="Times New Roman"/>
          <w:sz w:val="24"/>
          <w:szCs w:val="24"/>
        </w:rPr>
      </w:pPr>
    </w:p>
    <w:p w14:paraId="79026500" w14:textId="77777777" w:rsidR="003803B7" w:rsidRPr="00285A46" w:rsidRDefault="003803B7" w:rsidP="003803B7">
      <w:pPr>
        <w:widowControl w:val="0"/>
        <w:numPr>
          <w:ilvl w:val="2"/>
          <w:numId w:val="14"/>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При проведении закупок на право заключения договора лизинга (выбора лизингодателя) положения Рекомендаций по оценке применяются с учетом особенностей, предусмотренных настоящим подразделом.</w:t>
      </w:r>
    </w:p>
    <w:p w14:paraId="6BE9B505" w14:textId="77777777" w:rsidR="003803B7" w:rsidRPr="00285A46" w:rsidRDefault="003803B7" w:rsidP="003803B7">
      <w:pPr>
        <w:widowControl w:val="0"/>
        <w:numPr>
          <w:ilvl w:val="2"/>
          <w:numId w:val="14"/>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p>
    <w:p w14:paraId="7FD2831D" w14:textId="77777777" w:rsidR="003803B7" w:rsidRPr="00285A46" w:rsidRDefault="003803B7" w:rsidP="003803B7">
      <w:pPr>
        <w:widowControl w:val="0"/>
        <w:numPr>
          <w:ilvl w:val="2"/>
          <w:numId w:val="14"/>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При проведении закупки по выбору лизингодателя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49FCEAF1" w14:textId="77777777" w:rsidR="003803B7" w:rsidRPr="00285A46" w:rsidRDefault="003803B7" w:rsidP="003803B7">
      <w:pPr>
        <w:pStyle w:val="a4"/>
        <w:numPr>
          <w:ilvl w:val="0"/>
          <w:numId w:val="15"/>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«Цена договора или цена за единицу продукции»;</w:t>
      </w:r>
    </w:p>
    <w:p w14:paraId="06CDFFB0" w14:textId="77777777" w:rsidR="003803B7" w:rsidRPr="00285A46" w:rsidRDefault="003803B7" w:rsidP="003803B7">
      <w:pPr>
        <w:pStyle w:val="a4"/>
        <w:numPr>
          <w:ilvl w:val="0"/>
          <w:numId w:val="15"/>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«Квалификация участника закупки»;</w:t>
      </w:r>
    </w:p>
    <w:p w14:paraId="1CC052CC" w14:textId="27D6B823" w:rsidR="003803B7" w:rsidRPr="00285A46" w:rsidRDefault="003803B7" w:rsidP="003803B7">
      <w:pPr>
        <w:pStyle w:val="a4"/>
        <w:numPr>
          <w:ilvl w:val="0"/>
          <w:numId w:val="15"/>
        </w:numPr>
        <w:spacing w:after="0"/>
        <w:ind w:left="0" w:firstLine="709"/>
        <w:jc w:val="both"/>
        <w:rPr>
          <w:rFonts w:ascii="Times New Roman" w:hAnsi="Times New Roman" w:cs="Times New Roman"/>
          <w:sz w:val="24"/>
          <w:szCs w:val="24"/>
        </w:rPr>
      </w:pPr>
      <w:r w:rsidRPr="00285A46">
        <w:rPr>
          <w:rFonts w:ascii="Times New Roman" w:hAnsi="Times New Roman" w:cs="Times New Roman"/>
          <w:sz w:val="24"/>
          <w:szCs w:val="24"/>
        </w:rPr>
        <w:t>«Качество технического предложения участника закупки при проведении закупки на выполнение работ, оказание услуг».</w:t>
      </w:r>
    </w:p>
    <w:p w14:paraId="23C5CB76" w14:textId="77777777" w:rsidR="009C3C90" w:rsidRPr="00285A46" w:rsidRDefault="009C3C90" w:rsidP="009C3C90">
      <w:pPr>
        <w:pStyle w:val="ConsPlusTitle"/>
        <w:spacing w:line="276" w:lineRule="auto"/>
        <w:ind w:firstLine="567"/>
        <w:jc w:val="both"/>
        <w:rPr>
          <w:rFonts w:ascii="Times New Roman" w:hAnsi="Times New Roman" w:cs="Times New Roman"/>
          <w:b w:val="0"/>
          <w:sz w:val="24"/>
          <w:szCs w:val="24"/>
        </w:rPr>
      </w:pPr>
    </w:p>
    <w:p w14:paraId="6ED51542" w14:textId="16799AA1" w:rsidR="005D639E" w:rsidRPr="00285A46" w:rsidRDefault="003803B7" w:rsidP="003803B7">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Таблицу 3 Приложения № 6 к Положению о закупке дополнить новой строкой:</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567"/>
        <w:gridCol w:w="567"/>
        <w:gridCol w:w="567"/>
        <w:gridCol w:w="572"/>
        <w:gridCol w:w="567"/>
        <w:gridCol w:w="567"/>
        <w:gridCol w:w="637"/>
        <w:gridCol w:w="567"/>
        <w:gridCol w:w="567"/>
        <w:gridCol w:w="567"/>
        <w:gridCol w:w="567"/>
        <w:gridCol w:w="567"/>
        <w:gridCol w:w="567"/>
        <w:gridCol w:w="567"/>
        <w:gridCol w:w="497"/>
        <w:gridCol w:w="567"/>
      </w:tblGrid>
      <w:tr w:rsidR="003803B7" w:rsidRPr="00285A46" w14:paraId="33580096" w14:textId="77777777" w:rsidTr="0025397C">
        <w:trPr>
          <w:cantSplit/>
        </w:trPr>
        <w:tc>
          <w:tcPr>
            <w:tcW w:w="1555" w:type="dxa"/>
            <w:vMerge w:val="restart"/>
            <w:tcBorders>
              <w:top w:val="single" w:sz="4" w:space="0" w:color="auto"/>
              <w:left w:val="single" w:sz="4" w:space="0" w:color="auto"/>
              <w:bottom w:val="single" w:sz="4" w:space="0" w:color="auto"/>
              <w:right w:val="single" w:sz="4" w:space="0" w:color="auto"/>
            </w:tcBorders>
            <w:hideMark/>
          </w:tcPr>
          <w:p w14:paraId="4B337B9B" w14:textId="76644281" w:rsidR="003803B7" w:rsidRPr="00285A46" w:rsidRDefault="003803B7" w:rsidP="0025397C">
            <w:pPr>
              <w:spacing w:after="0" w:line="240" w:lineRule="auto"/>
              <w:jc w:val="both"/>
              <w:rPr>
                <w:rFonts w:ascii="Times New Roman" w:hAnsi="Times New Roman" w:cs="Times New Roman"/>
                <w:sz w:val="16"/>
                <w:szCs w:val="16"/>
              </w:rPr>
            </w:pPr>
            <w:r w:rsidRPr="00285A46">
              <w:rPr>
                <w:rFonts w:ascii="Times New Roman" w:hAnsi="Times New Roman" w:cs="Times New Roman"/>
                <w:sz w:val="16"/>
                <w:szCs w:val="16"/>
              </w:rPr>
              <w:t>Предмет закупки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9C7B9" w14:textId="77777777" w:rsidR="003803B7" w:rsidRPr="00285A46" w:rsidRDefault="003803B7" w:rsidP="003803B7">
            <w:pPr>
              <w:spacing w:after="0" w:line="240" w:lineRule="auto"/>
              <w:ind w:left="-57" w:right="-57"/>
              <w:jc w:val="center"/>
              <w:rPr>
                <w:rFonts w:ascii="Times New Roman" w:hAnsi="Times New Roman" w:cs="Times New Roman"/>
                <w:sz w:val="16"/>
                <w:szCs w:val="16"/>
              </w:rPr>
            </w:pPr>
            <w:r w:rsidRPr="00285A46">
              <w:rPr>
                <w:rFonts w:ascii="Times New Roman" w:hAnsi="Times New Roman" w:cs="Times New Roman"/>
                <w:sz w:val="16"/>
                <w:szCs w:val="16"/>
              </w:rPr>
              <w:t>Цена договора или цена за единицу продукции</w:t>
            </w:r>
          </w:p>
        </w:tc>
        <w:tc>
          <w:tcPr>
            <w:tcW w:w="1139" w:type="dxa"/>
            <w:gridSpan w:val="2"/>
            <w:tcBorders>
              <w:top w:val="single" w:sz="4" w:space="0" w:color="auto"/>
              <w:left w:val="single" w:sz="4" w:space="0" w:color="auto"/>
              <w:bottom w:val="single" w:sz="4" w:space="0" w:color="auto"/>
              <w:right w:val="single" w:sz="4" w:space="0" w:color="auto"/>
            </w:tcBorders>
            <w:hideMark/>
          </w:tcPr>
          <w:p w14:paraId="250FC998" w14:textId="77777777" w:rsidR="003803B7" w:rsidRPr="00285A46" w:rsidRDefault="003803B7" w:rsidP="003803B7">
            <w:pPr>
              <w:spacing w:after="0" w:line="240" w:lineRule="auto"/>
              <w:ind w:left="-57" w:right="-57"/>
              <w:jc w:val="center"/>
              <w:rPr>
                <w:rFonts w:ascii="Times New Roman" w:hAnsi="Times New Roman" w:cs="Times New Roman"/>
                <w:sz w:val="16"/>
                <w:szCs w:val="16"/>
              </w:rPr>
            </w:pPr>
            <w:r w:rsidRPr="00285A46">
              <w:rPr>
                <w:rFonts w:ascii="Times New Roman" w:hAnsi="Times New Roman" w:cs="Times New Roman"/>
                <w:sz w:val="16"/>
                <w:szCs w:val="16"/>
              </w:rPr>
              <w:t>Расходы на эксплуатацию и техническое обслуживание приобретаемой продукции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B58756"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Стоимость жизненного цикла продукции при проведении закупки на заключение договора жизненного цикла</w:t>
            </w:r>
          </w:p>
        </w:tc>
        <w:tc>
          <w:tcPr>
            <w:tcW w:w="1204" w:type="dxa"/>
            <w:gridSpan w:val="2"/>
            <w:tcBorders>
              <w:top w:val="single" w:sz="4" w:space="0" w:color="auto"/>
              <w:left w:val="single" w:sz="4" w:space="0" w:color="auto"/>
              <w:bottom w:val="single" w:sz="4" w:space="0" w:color="auto"/>
              <w:right w:val="single" w:sz="4" w:space="0" w:color="auto"/>
            </w:tcBorders>
            <w:hideMark/>
          </w:tcPr>
          <w:p w14:paraId="7415D424"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Срок поставки товара, выполнения работ, оказания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786A7C" w14:textId="77777777" w:rsidR="003803B7" w:rsidRPr="00285A46" w:rsidRDefault="003803B7">
            <w:pPr>
              <w:spacing w:after="0" w:line="240" w:lineRule="auto"/>
              <w:ind w:left="-57" w:right="-57"/>
              <w:jc w:val="center"/>
              <w:rPr>
                <w:rFonts w:ascii="Times New Roman" w:hAnsi="Times New Roman" w:cs="Times New Roman"/>
                <w:sz w:val="16"/>
                <w:szCs w:val="16"/>
              </w:rPr>
            </w:pPr>
            <w:r w:rsidRPr="00285A46">
              <w:rPr>
                <w:rFonts w:ascii="Times New Roman" w:hAnsi="Times New Roman" w:cs="Times New Roman"/>
                <w:sz w:val="16"/>
                <w:szCs w:val="16"/>
              </w:rPr>
              <w:t>Функциональные характеристики (потребительские свойства) или качественные характеристики товара</w:t>
            </w:r>
          </w:p>
        </w:tc>
        <w:tc>
          <w:tcPr>
            <w:tcW w:w="1134" w:type="dxa"/>
            <w:gridSpan w:val="2"/>
            <w:tcBorders>
              <w:top w:val="single" w:sz="4" w:space="0" w:color="auto"/>
              <w:left w:val="single" w:sz="4" w:space="0" w:color="auto"/>
              <w:bottom w:val="single" w:sz="4" w:space="0" w:color="auto"/>
              <w:right w:val="single" w:sz="4" w:space="0" w:color="auto"/>
            </w:tcBorders>
            <w:hideMark/>
          </w:tcPr>
          <w:p w14:paraId="1A99BED6"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Качество технического предложения участника закупки при проведении закупки на выполнение работ, оказание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3ADC87" w14:textId="77777777" w:rsidR="003803B7" w:rsidRPr="00285A46" w:rsidRDefault="003803B7">
            <w:pPr>
              <w:spacing w:after="0" w:line="240" w:lineRule="auto"/>
              <w:ind w:left="-57" w:right="-57"/>
              <w:jc w:val="center"/>
              <w:rPr>
                <w:rFonts w:ascii="Times New Roman" w:hAnsi="Times New Roman" w:cs="Times New Roman"/>
                <w:sz w:val="16"/>
                <w:szCs w:val="16"/>
              </w:rPr>
            </w:pPr>
            <w:r w:rsidRPr="00285A46">
              <w:rPr>
                <w:rFonts w:ascii="Times New Roman" w:hAnsi="Times New Roman" w:cs="Times New Roman"/>
                <w:sz w:val="16"/>
                <w:szCs w:val="16"/>
              </w:rPr>
              <w:t>Срок предоставления гарантии качества продукции</w:t>
            </w:r>
          </w:p>
        </w:tc>
        <w:tc>
          <w:tcPr>
            <w:tcW w:w="1064" w:type="dxa"/>
            <w:gridSpan w:val="2"/>
            <w:tcBorders>
              <w:top w:val="single" w:sz="4" w:space="0" w:color="auto"/>
              <w:left w:val="single" w:sz="4" w:space="0" w:color="auto"/>
              <w:bottom w:val="single" w:sz="4" w:space="0" w:color="auto"/>
              <w:right w:val="single" w:sz="4" w:space="0" w:color="auto"/>
            </w:tcBorders>
            <w:hideMark/>
          </w:tcPr>
          <w:p w14:paraId="482AF724" w14:textId="77777777" w:rsidR="003803B7" w:rsidRPr="00285A46" w:rsidRDefault="003803B7">
            <w:pPr>
              <w:spacing w:after="0" w:line="240" w:lineRule="auto"/>
              <w:ind w:left="-57" w:right="-57"/>
              <w:jc w:val="center"/>
              <w:rPr>
                <w:rFonts w:ascii="Times New Roman" w:hAnsi="Times New Roman" w:cs="Times New Roman"/>
                <w:sz w:val="16"/>
                <w:szCs w:val="16"/>
              </w:rPr>
            </w:pPr>
            <w:r w:rsidRPr="00285A46">
              <w:rPr>
                <w:rFonts w:ascii="Times New Roman" w:hAnsi="Times New Roman" w:cs="Times New Roman"/>
                <w:sz w:val="16"/>
                <w:szCs w:val="16"/>
              </w:rPr>
              <w:t>Квалификация участника закупки</w:t>
            </w:r>
          </w:p>
        </w:tc>
      </w:tr>
      <w:tr w:rsidR="003803B7" w:rsidRPr="00285A46" w14:paraId="4412D6DA" w14:textId="77777777" w:rsidTr="0025397C">
        <w:trPr>
          <w:cantSplit/>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521B5288" w14:textId="77777777" w:rsidR="003803B7" w:rsidRPr="00285A46" w:rsidRDefault="003803B7">
            <w:pPr>
              <w:spacing w:after="0"/>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3A15A7"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5D973D"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567" w:type="dxa"/>
            <w:tcBorders>
              <w:top w:val="single" w:sz="4" w:space="0" w:color="auto"/>
              <w:left w:val="single" w:sz="4" w:space="0" w:color="auto"/>
              <w:bottom w:val="single" w:sz="4" w:space="0" w:color="auto"/>
              <w:right w:val="single" w:sz="4" w:space="0" w:color="auto"/>
            </w:tcBorders>
            <w:hideMark/>
          </w:tcPr>
          <w:p w14:paraId="797FC477"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72" w:type="dxa"/>
            <w:tcBorders>
              <w:top w:val="single" w:sz="4" w:space="0" w:color="auto"/>
              <w:left w:val="single" w:sz="4" w:space="0" w:color="auto"/>
              <w:bottom w:val="single" w:sz="4" w:space="0" w:color="auto"/>
              <w:right w:val="single" w:sz="4" w:space="0" w:color="auto"/>
            </w:tcBorders>
            <w:hideMark/>
          </w:tcPr>
          <w:p w14:paraId="35A10A1C"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D97D4"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6A10A"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637" w:type="dxa"/>
            <w:tcBorders>
              <w:top w:val="single" w:sz="4" w:space="0" w:color="auto"/>
              <w:left w:val="single" w:sz="4" w:space="0" w:color="auto"/>
              <w:bottom w:val="single" w:sz="4" w:space="0" w:color="auto"/>
              <w:right w:val="single" w:sz="4" w:space="0" w:color="auto"/>
            </w:tcBorders>
            <w:hideMark/>
          </w:tcPr>
          <w:p w14:paraId="49DCF4BE"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hideMark/>
          </w:tcPr>
          <w:p w14:paraId="3CA5FD62"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6F662B5"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3585E1"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567" w:type="dxa"/>
            <w:tcBorders>
              <w:top w:val="single" w:sz="4" w:space="0" w:color="auto"/>
              <w:left w:val="single" w:sz="4" w:space="0" w:color="auto"/>
              <w:bottom w:val="single" w:sz="4" w:space="0" w:color="auto"/>
              <w:right w:val="single" w:sz="4" w:space="0" w:color="auto"/>
            </w:tcBorders>
            <w:hideMark/>
          </w:tcPr>
          <w:p w14:paraId="215DF78F"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hideMark/>
          </w:tcPr>
          <w:p w14:paraId="2CEEF54D"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456855"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C06B29"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c>
          <w:tcPr>
            <w:tcW w:w="497" w:type="dxa"/>
            <w:tcBorders>
              <w:top w:val="single" w:sz="4" w:space="0" w:color="auto"/>
              <w:left w:val="single" w:sz="4" w:space="0" w:color="auto"/>
              <w:bottom w:val="single" w:sz="4" w:space="0" w:color="auto"/>
              <w:right w:val="single" w:sz="4" w:space="0" w:color="auto"/>
            </w:tcBorders>
            <w:hideMark/>
          </w:tcPr>
          <w:p w14:paraId="63DBB50C"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min</w:t>
            </w:r>
          </w:p>
        </w:tc>
        <w:tc>
          <w:tcPr>
            <w:tcW w:w="567" w:type="dxa"/>
            <w:tcBorders>
              <w:top w:val="single" w:sz="4" w:space="0" w:color="auto"/>
              <w:left w:val="single" w:sz="4" w:space="0" w:color="auto"/>
              <w:bottom w:val="single" w:sz="4" w:space="0" w:color="auto"/>
              <w:right w:val="single" w:sz="4" w:space="0" w:color="auto"/>
            </w:tcBorders>
            <w:hideMark/>
          </w:tcPr>
          <w:p w14:paraId="7EBD6D30" w14:textId="77777777" w:rsidR="003803B7" w:rsidRPr="00285A46" w:rsidRDefault="003803B7">
            <w:pPr>
              <w:spacing w:after="0" w:line="240" w:lineRule="auto"/>
              <w:jc w:val="center"/>
              <w:rPr>
                <w:rFonts w:ascii="Times New Roman" w:hAnsi="Times New Roman" w:cs="Times New Roman"/>
                <w:sz w:val="16"/>
                <w:szCs w:val="16"/>
                <w:lang w:val="en-US"/>
              </w:rPr>
            </w:pPr>
            <w:r w:rsidRPr="00285A46">
              <w:rPr>
                <w:rFonts w:ascii="Times New Roman" w:hAnsi="Times New Roman" w:cs="Times New Roman"/>
                <w:sz w:val="16"/>
                <w:szCs w:val="16"/>
                <w:lang w:val="en-US"/>
              </w:rPr>
              <w:t>max</w:t>
            </w:r>
          </w:p>
        </w:tc>
      </w:tr>
      <w:tr w:rsidR="003803B7" w:rsidRPr="00285A46" w14:paraId="74795CC3" w14:textId="77777777" w:rsidTr="0025397C">
        <w:trPr>
          <w:cantSplit/>
        </w:trPr>
        <w:tc>
          <w:tcPr>
            <w:tcW w:w="1555" w:type="dxa"/>
            <w:tcBorders>
              <w:top w:val="single" w:sz="4" w:space="0" w:color="auto"/>
              <w:left w:val="single" w:sz="4" w:space="0" w:color="auto"/>
              <w:bottom w:val="single" w:sz="4" w:space="0" w:color="auto"/>
              <w:right w:val="single" w:sz="4" w:space="0" w:color="auto"/>
            </w:tcBorders>
            <w:hideMark/>
          </w:tcPr>
          <w:p w14:paraId="21C95252" w14:textId="1EB4DEAE" w:rsidR="003803B7" w:rsidRPr="00285A46" w:rsidRDefault="003803B7" w:rsidP="003803B7">
            <w:pPr>
              <w:spacing w:after="0" w:line="240" w:lineRule="auto"/>
              <w:jc w:val="both"/>
              <w:rPr>
                <w:rFonts w:ascii="Times New Roman" w:hAnsi="Times New Roman" w:cs="Times New Roman"/>
                <w:sz w:val="16"/>
                <w:szCs w:val="16"/>
              </w:rPr>
            </w:pPr>
            <w:r w:rsidRPr="00285A46">
              <w:rPr>
                <w:rFonts w:ascii="Times New Roman" w:hAnsi="Times New Roman" w:cs="Times New Roman"/>
                <w:sz w:val="16"/>
                <w:szCs w:val="16"/>
              </w:rPr>
              <w:t>Закупки по выбору лизингодателя</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67E78F"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50</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2B35A4"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B57C25"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72" w:type="dxa"/>
            <w:tcBorders>
              <w:top w:val="single" w:sz="4" w:space="0" w:color="auto"/>
              <w:left w:val="single" w:sz="4" w:space="0" w:color="auto"/>
              <w:bottom w:val="single" w:sz="4" w:space="0" w:color="auto"/>
              <w:right w:val="single" w:sz="4" w:space="0" w:color="auto"/>
            </w:tcBorders>
            <w:vAlign w:val="center"/>
            <w:hideMark/>
          </w:tcPr>
          <w:p w14:paraId="35684752"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84F13F"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2803A3"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637" w:type="dxa"/>
            <w:tcBorders>
              <w:top w:val="single" w:sz="4" w:space="0" w:color="auto"/>
              <w:left w:val="single" w:sz="4" w:space="0" w:color="auto"/>
              <w:bottom w:val="single" w:sz="4" w:space="0" w:color="auto"/>
              <w:right w:val="single" w:sz="4" w:space="0" w:color="auto"/>
            </w:tcBorders>
            <w:vAlign w:val="center"/>
            <w:hideMark/>
          </w:tcPr>
          <w:p w14:paraId="01204089"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5883B6"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C1C2F2"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609D73"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850EF4"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9BA01A"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20</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59C9DB"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A1AA2E"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н/п</w:t>
            </w:r>
          </w:p>
        </w:tc>
        <w:tc>
          <w:tcPr>
            <w:tcW w:w="497" w:type="dxa"/>
            <w:tcBorders>
              <w:top w:val="single" w:sz="4" w:space="0" w:color="auto"/>
              <w:left w:val="single" w:sz="4" w:space="0" w:color="auto"/>
              <w:bottom w:val="single" w:sz="4" w:space="0" w:color="auto"/>
              <w:right w:val="single" w:sz="4" w:space="0" w:color="auto"/>
            </w:tcBorders>
            <w:vAlign w:val="center"/>
            <w:hideMark/>
          </w:tcPr>
          <w:p w14:paraId="0C0A7577"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49060A" w14:textId="77777777" w:rsidR="003803B7" w:rsidRPr="00285A46" w:rsidRDefault="003803B7">
            <w:pPr>
              <w:spacing w:after="0" w:line="240" w:lineRule="auto"/>
              <w:jc w:val="center"/>
              <w:rPr>
                <w:rFonts w:ascii="Times New Roman" w:hAnsi="Times New Roman" w:cs="Times New Roman"/>
                <w:sz w:val="16"/>
                <w:szCs w:val="16"/>
              </w:rPr>
            </w:pPr>
            <w:r w:rsidRPr="00285A46">
              <w:rPr>
                <w:rFonts w:ascii="Times New Roman" w:hAnsi="Times New Roman" w:cs="Times New Roman"/>
                <w:sz w:val="16"/>
                <w:szCs w:val="16"/>
              </w:rPr>
              <w:t>30</w:t>
            </w:r>
          </w:p>
        </w:tc>
      </w:tr>
    </w:tbl>
    <w:p w14:paraId="18782B62" w14:textId="77777777" w:rsidR="003803B7" w:rsidRPr="00285A46" w:rsidRDefault="003803B7" w:rsidP="003803B7">
      <w:pPr>
        <w:pStyle w:val="ConsPlusNormal"/>
        <w:spacing w:line="276" w:lineRule="auto"/>
        <w:ind w:left="207"/>
        <w:jc w:val="both"/>
        <w:rPr>
          <w:rFonts w:ascii="Times New Roman" w:hAnsi="Times New Roman" w:cs="Times New Roman"/>
          <w:sz w:val="24"/>
          <w:szCs w:val="24"/>
        </w:rPr>
      </w:pPr>
    </w:p>
    <w:p w14:paraId="064EB47E" w14:textId="77777777" w:rsidR="0025397C" w:rsidRPr="00285A46" w:rsidRDefault="0025397C" w:rsidP="0025397C">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hAnsi="Times New Roman" w:cs="Times New Roman"/>
          <w:sz w:val="24"/>
          <w:szCs w:val="24"/>
        </w:rPr>
        <w:t>Приложение 6 к Положению о закупке дополнить Таблицей 5 следующего содержания:</w:t>
      </w:r>
    </w:p>
    <w:p w14:paraId="7DDBDAC2" w14:textId="42250682" w:rsidR="0025397C" w:rsidRPr="00285A46" w:rsidRDefault="0025397C" w:rsidP="0025397C">
      <w:pPr>
        <w:pStyle w:val="ConsPlusNormal"/>
        <w:spacing w:line="276" w:lineRule="auto"/>
        <w:ind w:firstLine="567"/>
        <w:jc w:val="both"/>
        <w:rPr>
          <w:rFonts w:ascii="Times New Roman" w:hAnsi="Times New Roman" w:cs="Times New Roman"/>
          <w:sz w:val="24"/>
          <w:szCs w:val="24"/>
        </w:rPr>
      </w:pPr>
      <w:r w:rsidRPr="00285A46">
        <w:rPr>
          <w:rFonts w:ascii="Times New Roman" w:hAnsi="Times New Roman" w:cs="Times New Roman"/>
          <w:sz w:val="24"/>
          <w:szCs w:val="24"/>
        </w:rPr>
        <w:t>«Таблица 5 Методики оценки заявок на участие в конкурсе, запросе предложений при проведении закупок лизинговых услуг</w:t>
      </w:r>
    </w:p>
    <w:p w14:paraId="77AF56B8" w14:textId="77777777" w:rsidR="0025397C" w:rsidRPr="00285A46" w:rsidRDefault="0025397C" w:rsidP="0025397C">
      <w:pPr>
        <w:pStyle w:val="ConsPlusNormal"/>
        <w:spacing w:line="276" w:lineRule="auto"/>
        <w:ind w:firstLine="567"/>
        <w:jc w:val="both"/>
        <w:rPr>
          <w:rFonts w:ascii="Times New Roman" w:hAnsi="Times New Roman" w:cs="Times New Roman"/>
          <w:sz w:val="24"/>
          <w:szCs w:val="24"/>
        </w:rPr>
      </w:pPr>
    </w:p>
    <w:p w14:paraId="1C9ECF66" w14:textId="77777777" w:rsidR="0025397C" w:rsidRPr="00285A46" w:rsidRDefault="0025397C" w:rsidP="0025397C">
      <w:pPr>
        <w:pStyle w:val="ConsPlusNormal"/>
        <w:spacing w:line="276" w:lineRule="auto"/>
        <w:ind w:firstLine="567"/>
        <w:jc w:val="both"/>
        <w:rPr>
          <w:rFonts w:ascii="Times New Roman" w:hAnsi="Times New Roman" w:cs="Times New Roman"/>
          <w:sz w:val="24"/>
          <w:szCs w:val="24"/>
        </w:rPr>
      </w:pPr>
    </w:p>
    <w:p w14:paraId="13874DF4" w14:textId="77777777" w:rsidR="0025397C" w:rsidRPr="00285A46" w:rsidRDefault="0025397C" w:rsidP="0025397C">
      <w:pPr>
        <w:pStyle w:val="ConsPlusNormal"/>
        <w:spacing w:line="276" w:lineRule="auto"/>
        <w:ind w:firstLine="567"/>
        <w:jc w:val="both"/>
        <w:rPr>
          <w:rFonts w:ascii="Times New Roman" w:hAnsi="Times New Roman" w:cs="Times New Roman"/>
          <w:sz w:val="24"/>
          <w:szCs w:val="24"/>
        </w:rPr>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104"/>
        <w:gridCol w:w="3119"/>
        <w:gridCol w:w="851"/>
        <w:gridCol w:w="1275"/>
        <w:gridCol w:w="2437"/>
      </w:tblGrid>
      <w:tr w:rsidR="0025397C" w:rsidRPr="00285A46" w14:paraId="4BA87A2D" w14:textId="77777777" w:rsidTr="0025397C">
        <w:tc>
          <w:tcPr>
            <w:tcW w:w="562" w:type="dxa"/>
            <w:tcBorders>
              <w:top w:val="single" w:sz="4" w:space="0" w:color="auto"/>
              <w:left w:val="single" w:sz="4" w:space="0" w:color="auto"/>
              <w:bottom w:val="single" w:sz="4" w:space="0" w:color="auto"/>
              <w:right w:val="single" w:sz="4" w:space="0" w:color="auto"/>
            </w:tcBorders>
            <w:noWrap/>
            <w:vAlign w:val="center"/>
            <w:hideMark/>
          </w:tcPr>
          <w:p w14:paraId="2CFB9FA4"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 п/п</w:t>
            </w:r>
          </w:p>
        </w:tc>
        <w:tc>
          <w:tcPr>
            <w:tcW w:w="2104" w:type="dxa"/>
            <w:tcBorders>
              <w:top w:val="single" w:sz="4" w:space="0" w:color="auto"/>
              <w:left w:val="single" w:sz="4" w:space="0" w:color="auto"/>
              <w:bottom w:val="single" w:sz="4" w:space="0" w:color="auto"/>
              <w:right w:val="single" w:sz="4" w:space="0" w:color="auto"/>
            </w:tcBorders>
            <w:noWrap/>
            <w:vAlign w:val="center"/>
            <w:hideMark/>
          </w:tcPr>
          <w:p w14:paraId="4C28137F"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Наименование критерия оценки (подкритерия)</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880BC77"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Содержание критерия (подкритерия), порядок оценки по критерию</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DCAE617"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Значение в баллах</w:t>
            </w:r>
          </w:p>
        </w:tc>
        <w:tc>
          <w:tcPr>
            <w:tcW w:w="1275" w:type="dxa"/>
            <w:tcBorders>
              <w:top w:val="single" w:sz="4" w:space="0" w:color="auto"/>
              <w:left w:val="single" w:sz="4" w:space="0" w:color="auto"/>
              <w:bottom w:val="single" w:sz="4" w:space="0" w:color="auto"/>
              <w:right w:val="single" w:sz="4" w:space="0" w:color="auto"/>
            </w:tcBorders>
            <w:noWrap/>
            <w:vAlign w:val="center"/>
            <w:hideMark/>
          </w:tcPr>
          <w:p w14:paraId="2BE9D76C"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 xml:space="preserve">Коэффициент значимости (значимость, %) критерия (подкритерия) </w:t>
            </w:r>
          </w:p>
        </w:tc>
        <w:tc>
          <w:tcPr>
            <w:tcW w:w="2437" w:type="dxa"/>
            <w:tcBorders>
              <w:top w:val="single" w:sz="4" w:space="0" w:color="auto"/>
              <w:left w:val="single" w:sz="4" w:space="0" w:color="auto"/>
              <w:bottom w:val="single" w:sz="4" w:space="0" w:color="auto"/>
              <w:right w:val="single" w:sz="4" w:space="0" w:color="auto"/>
            </w:tcBorders>
            <w:noWrap/>
            <w:vAlign w:val="center"/>
            <w:hideMark/>
          </w:tcPr>
          <w:p w14:paraId="44FA269F"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Порядок подтверждения</w:t>
            </w:r>
          </w:p>
        </w:tc>
      </w:tr>
      <w:tr w:rsidR="0025397C" w:rsidRPr="00285A46" w14:paraId="71BD017F" w14:textId="77777777" w:rsidTr="0025397C">
        <w:tc>
          <w:tcPr>
            <w:tcW w:w="562" w:type="dxa"/>
            <w:tcBorders>
              <w:top w:val="single" w:sz="4" w:space="0" w:color="auto"/>
              <w:left w:val="single" w:sz="4" w:space="0" w:color="auto"/>
              <w:bottom w:val="single" w:sz="4" w:space="0" w:color="auto"/>
              <w:right w:val="single" w:sz="4" w:space="0" w:color="auto"/>
            </w:tcBorders>
            <w:noWrap/>
            <w:hideMark/>
          </w:tcPr>
          <w:p w14:paraId="1963F714"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b/>
                <w:sz w:val="20"/>
                <w:szCs w:val="20"/>
              </w:rPr>
            </w:pPr>
            <w:r w:rsidRPr="00285A46">
              <w:rPr>
                <w:rFonts w:ascii="Times New Roman" w:hAnsi="Times New Roman" w:cs="Times New Roman"/>
                <w:b/>
                <w:sz w:val="20"/>
                <w:szCs w:val="20"/>
              </w:rPr>
              <w:t>1.</w:t>
            </w:r>
          </w:p>
        </w:tc>
        <w:tc>
          <w:tcPr>
            <w:tcW w:w="2104" w:type="dxa"/>
            <w:tcBorders>
              <w:top w:val="single" w:sz="4" w:space="0" w:color="auto"/>
              <w:left w:val="single" w:sz="4" w:space="0" w:color="auto"/>
              <w:bottom w:val="single" w:sz="4" w:space="0" w:color="auto"/>
              <w:right w:val="single" w:sz="4" w:space="0" w:color="auto"/>
            </w:tcBorders>
            <w:noWrap/>
            <w:hideMark/>
          </w:tcPr>
          <w:p w14:paraId="2B0A6EDE"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b/>
                <w:sz w:val="20"/>
                <w:szCs w:val="20"/>
              </w:rPr>
            </w:pPr>
            <w:r w:rsidRPr="00285A46">
              <w:rPr>
                <w:rFonts w:ascii="Times New Roman" w:hAnsi="Times New Roman" w:cs="Times New Roman"/>
                <w:b/>
                <w:sz w:val="20"/>
                <w:szCs w:val="20"/>
              </w:rPr>
              <w:t>Цена договора или цена за единицу продукции</w:t>
            </w:r>
          </w:p>
        </w:tc>
        <w:tc>
          <w:tcPr>
            <w:tcW w:w="3119" w:type="dxa"/>
            <w:tcBorders>
              <w:top w:val="single" w:sz="4" w:space="0" w:color="auto"/>
              <w:left w:val="single" w:sz="4" w:space="0" w:color="auto"/>
              <w:bottom w:val="single" w:sz="4" w:space="0" w:color="auto"/>
              <w:right w:val="single" w:sz="4" w:space="0" w:color="auto"/>
            </w:tcBorders>
            <w:noWrap/>
            <w:hideMark/>
          </w:tcPr>
          <w:p w14:paraId="4A4C01C1"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Оценка по критерию осуществляется в соответствии с требованиями п. 3.3 Методических рекомендаций</w:t>
            </w:r>
          </w:p>
        </w:tc>
        <w:tc>
          <w:tcPr>
            <w:tcW w:w="851" w:type="dxa"/>
            <w:tcBorders>
              <w:top w:val="single" w:sz="4" w:space="0" w:color="auto"/>
              <w:left w:val="single" w:sz="4" w:space="0" w:color="auto"/>
              <w:bottom w:val="single" w:sz="4" w:space="0" w:color="auto"/>
              <w:right w:val="single" w:sz="4" w:space="0" w:color="auto"/>
            </w:tcBorders>
            <w:noWrap/>
            <w:hideMark/>
          </w:tcPr>
          <w:p w14:paraId="60EC3169"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Не применимо</w:t>
            </w:r>
          </w:p>
        </w:tc>
        <w:tc>
          <w:tcPr>
            <w:tcW w:w="1275" w:type="dxa"/>
            <w:tcBorders>
              <w:top w:val="single" w:sz="4" w:space="0" w:color="auto"/>
              <w:left w:val="single" w:sz="4" w:space="0" w:color="auto"/>
              <w:bottom w:val="single" w:sz="4" w:space="0" w:color="auto"/>
              <w:right w:val="single" w:sz="4" w:space="0" w:color="auto"/>
            </w:tcBorders>
            <w:noWrap/>
            <w:hideMark/>
          </w:tcPr>
          <w:p w14:paraId="6030835A"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0,5 (50%)</w:t>
            </w:r>
          </w:p>
        </w:tc>
        <w:tc>
          <w:tcPr>
            <w:tcW w:w="2437" w:type="dxa"/>
            <w:tcBorders>
              <w:top w:val="single" w:sz="4" w:space="0" w:color="auto"/>
              <w:left w:val="single" w:sz="4" w:space="0" w:color="auto"/>
              <w:bottom w:val="single" w:sz="4" w:space="0" w:color="auto"/>
              <w:right w:val="single" w:sz="4" w:space="0" w:color="auto"/>
            </w:tcBorders>
            <w:noWrap/>
            <w:hideMark/>
          </w:tcPr>
          <w:p w14:paraId="402BF75A"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Сведения о цене договора указываются в составе заявки на участие в закупке</w:t>
            </w:r>
          </w:p>
        </w:tc>
      </w:tr>
      <w:tr w:rsidR="0025397C" w:rsidRPr="00285A46" w14:paraId="03E22E79" w14:textId="77777777" w:rsidTr="0025397C">
        <w:tc>
          <w:tcPr>
            <w:tcW w:w="562" w:type="dxa"/>
            <w:tcBorders>
              <w:top w:val="single" w:sz="4" w:space="0" w:color="auto"/>
              <w:left w:val="single" w:sz="4" w:space="0" w:color="auto"/>
              <w:bottom w:val="single" w:sz="4" w:space="0" w:color="auto"/>
              <w:right w:val="single" w:sz="4" w:space="0" w:color="auto"/>
            </w:tcBorders>
            <w:noWrap/>
            <w:hideMark/>
          </w:tcPr>
          <w:p w14:paraId="7AEF621D"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b/>
                <w:sz w:val="20"/>
                <w:szCs w:val="20"/>
              </w:rPr>
            </w:pPr>
            <w:r w:rsidRPr="00285A46">
              <w:rPr>
                <w:rFonts w:ascii="Times New Roman" w:hAnsi="Times New Roman" w:cs="Times New Roman"/>
                <w:b/>
                <w:sz w:val="20"/>
                <w:szCs w:val="20"/>
              </w:rPr>
              <w:t>2.</w:t>
            </w:r>
          </w:p>
        </w:tc>
        <w:tc>
          <w:tcPr>
            <w:tcW w:w="2104" w:type="dxa"/>
            <w:tcBorders>
              <w:top w:val="single" w:sz="4" w:space="0" w:color="auto"/>
              <w:left w:val="single" w:sz="4" w:space="0" w:color="auto"/>
              <w:bottom w:val="single" w:sz="4" w:space="0" w:color="auto"/>
              <w:right w:val="single" w:sz="4" w:space="0" w:color="auto"/>
            </w:tcBorders>
            <w:noWrap/>
            <w:hideMark/>
          </w:tcPr>
          <w:p w14:paraId="4C93F1D6"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b/>
                <w:sz w:val="20"/>
                <w:szCs w:val="20"/>
              </w:rPr>
            </w:pPr>
            <w:r w:rsidRPr="00285A46">
              <w:rPr>
                <w:rFonts w:ascii="Times New Roman" w:hAnsi="Times New Roman" w:cs="Times New Roman"/>
                <w:b/>
                <w:sz w:val="20"/>
                <w:szCs w:val="20"/>
              </w:rPr>
              <w:t>Квалификация участника закупки</w:t>
            </w:r>
          </w:p>
        </w:tc>
        <w:tc>
          <w:tcPr>
            <w:tcW w:w="3119" w:type="dxa"/>
            <w:tcBorders>
              <w:top w:val="single" w:sz="4" w:space="0" w:color="auto"/>
              <w:left w:val="single" w:sz="4" w:space="0" w:color="auto"/>
              <w:bottom w:val="single" w:sz="4" w:space="0" w:color="auto"/>
              <w:right w:val="single" w:sz="4" w:space="0" w:color="auto"/>
            </w:tcBorders>
            <w:noWrap/>
            <w:hideMark/>
          </w:tcPr>
          <w:p w14:paraId="62B18FF5"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 xml:space="preserve">В соответствии с установленными </w:t>
            </w:r>
            <w:r w:rsidRPr="00285A46">
              <w:rPr>
                <w:rFonts w:ascii="Times New Roman" w:hAnsi="Times New Roman" w:cs="Times New Roman"/>
                <w:sz w:val="20"/>
                <w:szCs w:val="20"/>
                <w:lang w:eastAsia="ru-RU"/>
              </w:rPr>
              <w:t>подкритериями</w:t>
            </w:r>
            <w:r w:rsidRPr="00285A46">
              <w:rPr>
                <w:rFonts w:ascii="Times New Roman" w:hAnsi="Times New Roman" w:cs="Times New Roman"/>
                <w:sz w:val="20"/>
                <w:szCs w:val="20"/>
              </w:rPr>
              <w:t xml:space="preserve"> критерия оценки</w:t>
            </w:r>
          </w:p>
        </w:tc>
        <w:tc>
          <w:tcPr>
            <w:tcW w:w="851" w:type="dxa"/>
            <w:tcBorders>
              <w:top w:val="single" w:sz="4" w:space="0" w:color="auto"/>
              <w:left w:val="single" w:sz="4" w:space="0" w:color="auto"/>
              <w:bottom w:val="single" w:sz="4" w:space="0" w:color="auto"/>
              <w:right w:val="single" w:sz="4" w:space="0" w:color="auto"/>
            </w:tcBorders>
            <w:noWrap/>
            <w:hideMark/>
          </w:tcPr>
          <w:p w14:paraId="50EC9573"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w:t>
            </w:r>
          </w:p>
        </w:tc>
        <w:tc>
          <w:tcPr>
            <w:tcW w:w="1275" w:type="dxa"/>
            <w:tcBorders>
              <w:top w:val="single" w:sz="4" w:space="0" w:color="auto"/>
              <w:left w:val="single" w:sz="4" w:space="0" w:color="auto"/>
              <w:bottom w:val="single" w:sz="4" w:space="0" w:color="auto"/>
              <w:right w:val="single" w:sz="4" w:space="0" w:color="auto"/>
            </w:tcBorders>
            <w:noWrap/>
            <w:hideMark/>
          </w:tcPr>
          <w:p w14:paraId="1F2E48C0"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0,3 (30%)</w:t>
            </w:r>
          </w:p>
        </w:tc>
        <w:tc>
          <w:tcPr>
            <w:tcW w:w="2437" w:type="dxa"/>
            <w:tcBorders>
              <w:top w:val="single" w:sz="4" w:space="0" w:color="auto"/>
              <w:left w:val="single" w:sz="4" w:space="0" w:color="auto"/>
              <w:bottom w:val="single" w:sz="4" w:space="0" w:color="auto"/>
              <w:right w:val="single" w:sz="4" w:space="0" w:color="auto"/>
            </w:tcBorders>
            <w:noWrap/>
            <w:hideMark/>
          </w:tcPr>
          <w:p w14:paraId="4DA9BDC6"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 xml:space="preserve">В соответствии с установленными </w:t>
            </w:r>
            <w:r w:rsidRPr="00285A46">
              <w:rPr>
                <w:rFonts w:ascii="Times New Roman" w:hAnsi="Times New Roman" w:cs="Times New Roman"/>
                <w:sz w:val="20"/>
                <w:szCs w:val="20"/>
                <w:lang w:eastAsia="ru-RU"/>
              </w:rPr>
              <w:t>подкритериями</w:t>
            </w:r>
            <w:r w:rsidRPr="00285A46">
              <w:rPr>
                <w:rFonts w:ascii="Times New Roman" w:hAnsi="Times New Roman" w:cs="Times New Roman"/>
                <w:sz w:val="20"/>
                <w:szCs w:val="20"/>
              </w:rPr>
              <w:t xml:space="preserve"> критерия оценки</w:t>
            </w:r>
          </w:p>
        </w:tc>
      </w:tr>
      <w:tr w:rsidR="0025397C" w:rsidRPr="00285A46" w14:paraId="3B2E1AE0" w14:textId="77777777" w:rsidTr="0025397C">
        <w:tc>
          <w:tcPr>
            <w:tcW w:w="562" w:type="dxa"/>
            <w:tcBorders>
              <w:top w:val="single" w:sz="4" w:space="0" w:color="auto"/>
              <w:left w:val="single" w:sz="4" w:space="0" w:color="auto"/>
              <w:bottom w:val="single" w:sz="4" w:space="0" w:color="auto"/>
              <w:right w:val="single" w:sz="4" w:space="0" w:color="auto"/>
            </w:tcBorders>
            <w:noWrap/>
            <w:hideMark/>
          </w:tcPr>
          <w:p w14:paraId="171D8DC2"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b/>
                <w:sz w:val="20"/>
                <w:szCs w:val="20"/>
              </w:rPr>
            </w:pPr>
            <w:r w:rsidRPr="00285A46">
              <w:rPr>
                <w:rFonts w:ascii="Times New Roman" w:hAnsi="Times New Roman" w:cs="Times New Roman"/>
                <w:b/>
                <w:sz w:val="20"/>
                <w:szCs w:val="20"/>
              </w:rPr>
              <w:t>2.1.</w:t>
            </w:r>
          </w:p>
        </w:tc>
        <w:tc>
          <w:tcPr>
            <w:tcW w:w="2104" w:type="dxa"/>
            <w:tcBorders>
              <w:top w:val="single" w:sz="4" w:space="0" w:color="auto"/>
              <w:left w:val="single" w:sz="4" w:space="0" w:color="auto"/>
              <w:bottom w:val="single" w:sz="4" w:space="0" w:color="auto"/>
              <w:right w:val="single" w:sz="4" w:space="0" w:color="auto"/>
            </w:tcBorders>
            <w:noWrap/>
            <w:hideMark/>
          </w:tcPr>
          <w:p w14:paraId="63D40EFC"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b/>
                <w:sz w:val="20"/>
                <w:szCs w:val="20"/>
              </w:rPr>
            </w:pPr>
            <w:r w:rsidRPr="00285A46">
              <w:rPr>
                <w:rFonts w:ascii="Times New Roman" w:hAnsi="Times New Roman" w:cs="Times New Roman"/>
                <w:b/>
                <w:sz w:val="20"/>
                <w:szCs w:val="20"/>
              </w:rPr>
              <w:t>Обеспеченность материально-техническими ресурсами, необходимыми для исполнения обязательств по договору</w:t>
            </w:r>
          </w:p>
        </w:tc>
        <w:tc>
          <w:tcPr>
            <w:tcW w:w="3119" w:type="dxa"/>
            <w:tcBorders>
              <w:top w:val="single" w:sz="4" w:space="0" w:color="auto"/>
              <w:left w:val="single" w:sz="4" w:space="0" w:color="auto"/>
              <w:bottom w:val="single" w:sz="4" w:space="0" w:color="auto"/>
              <w:right w:val="single" w:sz="4" w:space="0" w:color="auto"/>
            </w:tcBorders>
            <w:noWrap/>
            <w:hideMark/>
          </w:tcPr>
          <w:p w14:paraId="594FCCA3"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851" w:type="dxa"/>
            <w:tcBorders>
              <w:top w:val="single" w:sz="4" w:space="0" w:color="auto"/>
              <w:left w:val="single" w:sz="4" w:space="0" w:color="auto"/>
              <w:bottom w:val="single" w:sz="4" w:space="0" w:color="auto"/>
              <w:right w:val="single" w:sz="4" w:space="0" w:color="auto"/>
            </w:tcBorders>
            <w:noWrap/>
            <w:hideMark/>
          </w:tcPr>
          <w:p w14:paraId="656A630D"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100, в том числе:</w:t>
            </w:r>
          </w:p>
        </w:tc>
        <w:tc>
          <w:tcPr>
            <w:tcW w:w="1275" w:type="dxa"/>
            <w:vMerge w:val="restart"/>
            <w:tcBorders>
              <w:top w:val="single" w:sz="4" w:space="0" w:color="auto"/>
              <w:left w:val="single" w:sz="4" w:space="0" w:color="auto"/>
              <w:bottom w:val="single" w:sz="4" w:space="0" w:color="auto"/>
              <w:right w:val="single" w:sz="4" w:space="0" w:color="auto"/>
            </w:tcBorders>
            <w:noWrap/>
            <w:hideMark/>
          </w:tcPr>
          <w:p w14:paraId="3D66E1C2"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0,1 (10%)</w:t>
            </w: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2EEFA8DE"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25397C" w:rsidRPr="00285A46" w14:paraId="50DDE451"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72C9CF20"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2.1.1.</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431BF0F7"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Наличие у лизингодателя полиса страхования профессиональной ответственности при осуществлении лизинговой деятельности</w:t>
            </w:r>
          </w:p>
        </w:tc>
        <w:tc>
          <w:tcPr>
            <w:tcW w:w="3119" w:type="dxa"/>
            <w:tcBorders>
              <w:top w:val="single" w:sz="4" w:space="0" w:color="auto"/>
              <w:left w:val="single" w:sz="4" w:space="0" w:color="auto"/>
              <w:bottom w:val="single" w:sz="4" w:space="0" w:color="auto"/>
              <w:right w:val="single" w:sz="4" w:space="0" w:color="auto"/>
            </w:tcBorders>
            <w:noWrap/>
            <w:hideMark/>
          </w:tcPr>
          <w:p w14:paraId="21F814C4"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50 млн. рублей (включительно) и более по всем и каждому страховому случаю</w:t>
            </w:r>
          </w:p>
        </w:tc>
        <w:tc>
          <w:tcPr>
            <w:tcW w:w="851" w:type="dxa"/>
            <w:tcBorders>
              <w:top w:val="single" w:sz="4" w:space="0" w:color="auto"/>
              <w:left w:val="single" w:sz="4" w:space="0" w:color="auto"/>
              <w:bottom w:val="single" w:sz="4" w:space="0" w:color="auto"/>
              <w:right w:val="single" w:sz="4" w:space="0" w:color="auto"/>
            </w:tcBorders>
            <w:noWrap/>
            <w:hideMark/>
          </w:tcPr>
          <w:p w14:paraId="45415F4C"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30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F1B402"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E93A2EC" w14:textId="77777777" w:rsidR="0025397C" w:rsidRPr="00285A46" w:rsidRDefault="0025397C">
            <w:pPr>
              <w:spacing w:after="0"/>
              <w:rPr>
                <w:rFonts w:ascii="Times New Roman" w:hAnsi="Times New Roman" w:cs="Times New Roman"/>
                <w:sz w:val="20"/>
                <w:szCs w:val="20"/>
              </w:rPr>
            </w:pPr>
          </w:p>
        </w:tc>
      </w:tr>
      <w:tr w:rsidR="0025397C" w:rsidRPr="00285A46" w14:paraId="47E0BC73"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6B8CD42F"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14B50A56"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005A3114"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40 млн. рублей (включительно) и более, но менее 50 млн. рублей по всем и каждому страховому случаю</w:t>
            </w:r>
          </w:p>
        </w:tc>
        <w:tc>
          <w:tcPr>
            <w:tcW w:w="851" w:type="dxa"/>
            <w:tcBorders>
              <w:top w:val="single" w:sz="4" w:space="0" w:color="auto"/>
              <w:left w:val="single" w:sz="4" w:space="0" w:color="auto"/>
              <w:bottom w:val="single" w:sz="4" w:space="0" w:color="auto"/>
              <w:right w:val="single" w:sz="4" w:space="0" w:color="auto"/>
            </w:tcBorders>
            <w:noWrap/>
            <w:hideMark/>
          </w:tcPr>
          <w:p w14:paraId="1F1989B6"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25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C4BC7F"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38030E5" w14:textId="77777777" w:rsidR="0025397C" w:rsidRPr="00285A46" w:rsidRDefault="0025397C">
            <w:pPr>
              <w:spacing w:after="0"/>
              <w:rPr>
                <w:rFonts w:ascii="Times New Roman" w:hAnsi="Times New Roman" w:cs="Times New Roman"/>
                <w:sz w:val="20"/>
                <w:szCs w:val="20"/>
              </w:rPr>
            </w:pPr>
          </w:p>
        </w:tc>
      </w:tr>
      <w:tr w:rsidR="0025397C" w:rsidRPr="00285A46" w14:paraId="2083A0C5"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13AA59E7"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947A965"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D3A3D31"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30 млн. рублей (включительно) и более, но менее 40 млн. рублей по всем и каждому страховому случаю</w:t>
            </w:r>
          </w:p>
        </w:tc>
        <w:tc>
          <w:tcPr>
            <w:tcW w:w="851" w:type="dxa"/>
            <w:tcBorders>
              <w:top w:val="single" w:sz="4" w:space="0" w:color="auto"/>
              <w:left w:val="single" w:sz="4" w:space="0" w:color="auto"/>
              <w:bottom w:val="single" w:sz="4" w:space="0" w:color="auto"/>
              <w:right w:val="single" w:sz="4" w:space="0" w:color="auto"/>
            </w:tcBorders>
            <w:noWrap/>
            <w:hideMark/>
          </w:tcPr>
          <w:p w14:paraId="5E4A4ECD"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20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BDEBA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80770EB" w14:textId="77777777" w:rsidR="0025397C" w:rsidRPr="00285A46" w:rsidRDefault="0025397C">
            <w:pPr>
              <w:spacing w:after="0"/>
              <w:rPr>
                <w:rFonts w:ascii="Times New Roman" w:hAnsi="Times New Roman" w:cs="Times New Roman"/>
                <w:sz w:val="20"/>
                <w:szCs w:val="20"/>
              </w:rPr>
            </w:pPr>
          </w:p>
        </w:tc>
      </w:tr>
      <w:tr w:rsidR="0025397C" w:rsidRPr="00285A46" w14:paraId="78DB3521"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74BB5E49"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531D039D"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B2089DC"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20 млн. рублей (включительно) и более, но менее 30 млн. рублей по всем и каждому страховому случаю</w:t>
            </w:r>
          </w:p>
        </w:tc>
        <w:tc>
          <w:tcPr>
            <w:tcW w:w="851" w:type="dxa"/>
            <w:tcBorders>
              <w:top w:val="single" w:sz="4" w:space="0" w:color="auto"/>
              <w:left w:val="single" w:sz="4" w:space="0" w:color="auto"/>
              <w:bottom w:val="single" w:sz="4" w:space="0" w:color="auto"/>
              <w:right w:val="single" w:sz="4" w:space="0" w:color="auto"/>
            </w:tcBorders>
            <w:noWrap/>
            <w:hideMark/>
          </w:tcPr>
          <w:p w14:paraId="4A557F02"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15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CF65182"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0A1C3A4" w14:textId="77777777" w:rsidR="0025397C" w:rsidRPr="00285A46" w:rsidRDefault="0025397C">
            <w:pPr>
              <w:spacing w:after="0"/>
              <w:rPr>
                <w:rFonts w:ascii="Times New Roman" w:hAnsi="Times New Roman" w:cs="Times New Roman"/>
                <w:sz w:val="20"/>
                <w:szCs w:val="20"/>
              </w:rPr>
            </w:pPr>
          </w:p>
        </w:tc>
      </w:tr>
      <w:tr w:rsidR="0025397C" w:rsidRPr="00285A46" w14:paraId="06D888B0"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0C9228EE"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5E38E257"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47500011"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10 млн. рублей (включительно) и более, но менее 20 млн. рублей по всем и каждому страховому случаю</w:t>
            </w:r>
          </w:p>
        </w:tc>
        <w:tc>
          <w:tcPr>
            <w:tcW w:w="851" w:type="dxa"/>
            <w:tcBorders>
              <w:top w:val="single" w:sz="4" w:space="0" w:color="auto"/>
              <w:left w:val="single" w:sz="4" w:space="0" w:color="auto"/>
              <w:bottom w:val="single" w:sz="4" w:space="0" w:color="auto"/>
              <w:right w:val="single" w:sz="4" w:space="0" w:color="auto"/>
            </w:tcBorders>
            <w:noWrap/>
            <w:hideMark/>
          </w:tcPr>
          <w:p w14:paraId="631F6B8F"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10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6E2F8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92335EC" w14:textId="77777777" w:rsidR="0025397C" w:rsidRPr="00285A46" w:rsidRDefault="0025397C">
            <w:pPr>
              <w:spacing w:after="0"/>
              <w:rPr>
                <w:rFonts w:ascii="Times New Roman" w:hAnsi="Times New Roman" w:cs="Times New Roman"/>
                <w:sz w:val="20"/>
                <w:szCs w:val="20"/>
              </w:rPr>
            </w:pPr>
          </w:p>
        </w:tc>
      </w:tr>
      <w:tr w:rsidR="0025397C" w:rsidRPr="00285A46" w14:paraId="18DDF923"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3C007545"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789FADC8"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0DACA11"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 у лизингодателя полиса страхования профессиональной ответственности при осуществлении лизинговой деятельности в размере менее 10 млн. рублей или отсутствие у лизингодателя полиса страхования</w:t>
            </w:r>
          </w:p>
        </w:tc>
        <w:tc>
          <w:tcPr>
            <w:tcW w:w="851" w:type="dxa"/>
            <w:tcBorders>
              <w:top w:val="single" w:sz="4" w:space="0" w:color="auto"/>
              <w:left w:val="single" w:sz="4" w:space="0" w:color="auto"/>
              <w:bottom w:val="single" w:sz="4" w:space="0" w:color="auto"/>
              <w:right w:val="single" w:sz="4" w:space="0" w:color="auto"/>
            </w:tcBorders>
            <w:noWrap/>
            <w:hideMark/>
          </w:tcPr>
          <w:p w14:paraId="0486C41F"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1E99DA"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E0109B3" w14:textId="77777777" w:rsidR="0025397C" w:rsidRPr="00285A46" w:rsidRDefault="0025397C">
            <w:pPr>
              <w:spacing w:after="0"/>
              <w:rPr>
                <w:rFonts w:ascii="Times New Roman" w:hAnsi="Times New Roman" w:cs="Times New Roman"/>
                <w:sz w:val="20"/>
                <w:szCs w:val="20"/>
              </w:rPr>
            </w:pPr>
          </w:p>
        </w:tc>
      </w:tr>
      <w:tr w:rsidR="0025397C" w:rsidRPr="00285A46" w14:paraId="4FB90C28"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16AB76C7"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2.1.2</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4AF87993"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95CC89B" w14:textId="77777777" w:rsidR="0025397C" w:rsidRPr="00285A46" w:rsidRDefault="0025397C">
            <w:pPr>
              <w:spacing w:after="0"/>
              <w:jc w:val="both"/>
              <w:rPr>
                <w:rFonts w:ascii="Times New Roman" w:hAnsi="Times New Roman" w:cs="Times New Roman"/>
                <w:sz w:val="20"/>
                <w:szCs w:val="20"/>
              </w:rPr>
            </w:pPr>
            <w:r w:rsidRPr="00285A46">
              <w:rPr>
                <w:rFonts w:ascii="Times New Roman" w:hAnsi="Times New Roman" w:cs="Times New Roman"/>
                <w:sz w:val="20"/>
                <w:szCs w:val="2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 млрд. рублей (включительно) и более</w:t>
            </w:r>
          </w:p>
        </w:tc>
        <w:tc>
          <w:tcPr>
            <w:tcW w:w="851" w:type="dxa"/>
            <w:tcBorders>
              <w:top w:val="single" w:sz="4" w:space="0" w:color="auto"/>
              <w:left w:val="single" w:sz="4" w:space="0" w:color="auto"/>
              <w:bottom w:val="single" w:sz="4" w:space="0" w:color="auto"/>
              <w:right w:val="single" w:sz="4" w:space="0" w:color="auto"/>
            </w:tcBorders>
            <w:noWrap/>
            <w:hideMark/>
          </w:tcPr>
          <w:p w14:paraId="3788B1BC"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70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174175" w14:textId="77777777" w:rsidR="0025397C" w:rsidRPr="00285A46" w:rsidRDefault="0025397C">
            <w:pPr>
              <w:spacing w:after="0"/>
              <w:rPr>
                <w:rFonts w:ascii="Times New Roman" w:hAnsi="Times New Roman" w:cs="Times New Roman"/>
                <w:sz w:val="20"/>
                <w:szCs w:val="20"/>
              </w:rPr>
            </w:pP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2136D5E9"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акционеров (участников) лизингодателя, а также выпиской из реестра акционеров (для учредителей лизингодателей – акционерных обществ) или выпиской из ЕГРЮЛ лизингодателя (в случае, если лизингодатель не является акционерным обществом)</w:t>
            </w:r>
          </w:p>
        </w:tc>
      </w:tr>
      <w:tr w:rsidR="0025397C" w:rsidRPr="00285A46" w14:paraId="05FF4B92"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0914436F"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696BB830"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6485F27C"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 млрд. рублей (включительно) и более, но менее 200 млрд. рублей</w:t>
            </w:r>
          </w:p>
        </w:tc>
        <w:tc>
          <w:tcPr>
            <w:tcW w:w="851" w:type="dxa"/>
            <w:tcBorders>
              <w:top w:val="single" w:sz="4" w:space="0" w:color="auto"/>
              <w:left w:val="single" w:sz="4" w:space="0" w:color="auto"/>
              <w:bottom w:val="single" w:sz="4" w:space="0" w:color="auto"/>
              <w:right w:val="single" w:sz="4" w:space="0" w:color="auto"/>
            </w:tcBorders>
            <w:noWrap/>
            <w:hideMark/>
          </w:tcPr>
          <w:p w14:paraId="01B47237" w14:textId="77777777" w:rsidR="0025397C" w:rsidRPr="00285A46" w:rsidRDefault="0025397C">
            <w:pPr>
              <w:widowControl w:val="0"/>
              <w:tabs>
                <w:tab w:val="center" w:pos="4677"/>
                <w:tab w:val="right" w:pos="9355"/>
              </w:tabs>
              <w:spacing w:after="0" w:line="240" w:lineRule="auto"/>
              <w:jc w:val="center"/>
              <w:outlineLvl w:val="1"/>
              <w:rPr>
                <w:rFonts w:ascii="Times New Roman" w:hAnsi="Times New Roman" w:cs="Times New Roman"/>
                <w:sz w:val="20"/>
                <w:szCs w:val="20"/>
              </w:rPr>
            </w:pPr>
            <w:r w:rsidRPr="00285A46">
              <w:rPr>
                <w:rFonts w:ascii="Times New Roman" w:hAnsi="Times New Roman" w:cs="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8E626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B62BD27" w14:textId="77777777" w:rsidR="0025397C" w:rsidRPr="00285A46" w:rsidRDefault="0025397C">
            <w:pPr>
              <w:spacing w:after="0"/>
              <w:rPr>
                <w:rFonts w:ascii="Times New Roman" w:hAnsi="Times New Roman" w:cs="Times New Roman"/>
                <w:sz w:val="20"/>
                <w:szCs w:val="20"/>
              </w:rPr>
            </w:pPr>
          </w:p>
        </w:tc>
      </w:tr>
      <w:tr w:rsidR="0025397C" w:rsidRPr="00285A46" w14:paraId="5D963D93"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E02DA09"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3E735560"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699F1000"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более, но менее 100 млрд. рублей</w:t>
            </w:r>
          </w:p>
        </w:tc>
        <w:tc>
          <w:tcPr>
            <w:tcW w:w="851" w:type="dxa"/>
            <w:tcBorders>
              <w:top w:val="single" w:sz="4" w:space="0" w:color="auto"/>
              <w:left w:val="single" w:sz="4" w:space="0" w:color="auto"/>
              <w:bottom w:val="single" w:sz="4" w:space="0" w:color="auto"/>
              <w:right w:val="single" w:sz="4" w:space="0" w:color="auto"/>
            </w:tcBorders>
            <w:noWrap/>
            <w:hideMark/>
          </w:tcPr>
          <w:p w14:paraId="1635BED2"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30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E64A9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BC77311" w14:textId="77777777" w:rsidR="0025397C" w:rsidRPr="00285A46" w:rsidRDefault="0025397C">
            <w:pPr>
              <w:spacing w:after="0"/>
              <w:rPr>
                <w:rFonts w:ascii="Times New Roman" w:hAnsi="Times New Roman" w:cs="Times New Roman"/>
                <w:sz w:val="20"/>
                <w:szCs w:val="20"/>
              </w:rPr>
            </w:pPr>
          </w:p>
        </w:tc>
      </w:tr>
      <w:tr w:rsidR="0025397C" w:rsidRPr="00285A46" w14:paraId="51AE62BD"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67C5078B"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CBF42DB"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2074797E"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менее</w:t>
            </w:r>
          </w:p>
        </w:tc>
        <w:tc>
          <w:tcPr>
            <w:tcW w:w="851" w:type="dxa"/>
            <w:tcBorders>
              <w:top w:val="single" w:sz="4" w:space="0" w:color="auto"/>
              <w:left w:val="single" w:sz="4" w:space="0" w:color="auto"/>
              <w:bottom w:val="single" w:sz="4" w:space="0" w:color="auto"/>
              <w:right w:val="single" w:sz="4" w:space="0" w:color="auto"/>
            </w:tcBorders>
            <w:noWrap/>
            <w:hideMark/>
          </w:tcPr>
          <w:p w14:paraId="2F659783"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10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725407"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80E8FC6" w14:textId="77777777" w:rsidR="0025397C" w:rsidRPr="00285A46" w:rsidRDefault="0025397C">
            <w:pPr>
              <w:spacing w:after="0"/>
              <w:rPr>
                <w:rFonts w:ascii="Times New Roman" w:hAnsi="Times New Roman" w:cs="Times New Roman"/>
                <w:sz w:val="20"/>
                <w:szCs w:val="20"/>
              </w:rPr>
            </w:pPr>
          </w:p>
        </w:tc>
      </w:tr>
      <w:tr w:rsidR="0025397C" w:rsidRPr="00285A46" w14:paraId="2004492D" w14:textId="77777777" w:rsidTr="0025397C">
        <w:tc>
          <w:tcPr>
            <w:tcW w:w="562" w:type="dxa"/>
            <w:tcBorders>
              <w:top w:val="single" w:sz="4" w:space="0" w:color="auto"/>
              <w:left w:val="single" w:sz="4" w:space="0" w:color="auto"/>
              <w:bottom w:val="single" w:sz="4" w:space="0" w:color="auto"/>
              <w:right w:val="single" w:sz="4" w:space="0" w:color="auto"/>
            </w:tcBorders>
            <w:noWrap/>
            <w:hideMark/>
          </w:tcPr>
          <w:p w14:paraId="2A0ED543"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b/>
                <w:sz w:val="20"/>
                <w:szCs w:val="20"/>
              </w:rPr>
            </w:pPr>
            <w:r w:rsidRPr="00285A46">
              <w:rPr>
                <w:rFonts w:ascii="Times New Roman" w:hAnsi="Times New Roman" w:cs="Times New Roman"/>
                <w:b/>
                <w:sz w:val="20"/>
                <w:szCs w:val="20"/>
              </w:rPr>
              <w:t>2.2.</w:t>
            </w:r>
          </w:p>
        </w:tc>
        <w:tc>
          <w:tcPr>
            <w:tcW w:w="2104" w:type="dxa"/>
            <w:tcBorders>
              <w:top w:val="single" w:sz="4" w:space="0" w:color="auto"/>
              <w:left w:val="single" w:sz="4" w:space="0" w:color="auto"/>
              <w:bottom w:val="single" w:sz="4" w:space="0" w:color="auto"/>
              <w:right w:val="single" w:sz="4" w:space="0" w:color="auto"/>
            </w:tcBorders>
            <w:noWrap/>
            <w:hideMark/>
          </w:tcPr>
          <w:p w14:paraId="161834B3"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b/>
                <w:sz w:val="20"/>
                <w:szCs w:val="20"/>
              </w:rPr>
            </w:pPr>
            <w:r w:rsidRPr="00285A46">
              <w:rPr>
                <w:rFonts w:ascii="Times New Roman" w:hAnsi="Times New Roman" w:cs="Times New Roman"/>
                <w:b/>
                <w:sz w:val="20"/>
                <w:szCs w:val="20"/>
              </w:rPr>
              <w:t>Обеспеченность финансовыми ресурсами, необходимыми для исполнения обязательств по договору</w:t>
            </w:r>
          </w:p>
        </w:tc>
        <w:tc>
          <w:tcPr>
            <w:tcW w:w="3119" w:type="dxa"/>
            <w:tcBorders>
              <w:top w:val="single" w:sz="4" w:space="0" w:color="auto"/>
              <w:left w:val="single" w:sz="4" w:space="0" w:color="auto"/>
              <w:bottom w:val="single" w:sz="4" w:space="0" w:color="auto"/>
              <w:right w:val="single" w:sz="4" w:space="0" w:color="auto"/>
            </w:tcBorders>
            <w:noWrap/>
            <w:hideMark/>
          </w:tcPr>
          <w:p w14:paraId="39AA63D6"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851" w:type="dxa"/>
            <w:tcBorders>
              <w:top w:val="single" w:sz="4" w:space="0" w:color="auto"/>
              <w:left w:val="single" w:sz="4" w:space="0" w:color="auto"/>
              <w:bottom w:val="single" w:sz="4" w:space="0" w:color="auto"/>
              <w:right w:val="single" w:sz="4" w:space="0" w:color="auto"/>
            </w:tcBorders>
            <w:noWrap/>
            <w:hideMark/>
          </w:tcPr>
          <w:p w14:paraId="58C4D40B"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100, в том числе:</w:t>
            </w:r>
          </w:p>
        </w:tc>
        <w:tc>
          <w:tcPr>
            <w:tcW w:w="1275" w:type="dxa"/>
            <w:vMerge w:val="restart"/>
            <w:tcBorders>
              <w:top w:val="single" w:sz="4" w:space="0" w:color="auto"/>
              <w:left w:val="single" w:sz="4" w:space="0" w:color="auto"/>
              <w:bottom w:val="single" w:sz="4" w:space="0" w:color="auto"/>
              <w:right w:val="single" w:sz="4" w:space="0" w:color="auto"/>
            </w:tcBorders>
            <w:noWrap/>
            <w:hideMark/>
          </w:tcPr>
          <w:p w14:paraId="120798E5" w14:textId="77777777" w:rsidR="0025397C" w:rsidRPr="00285A46" w:rsidRDefault="0025397C">
            <w:pPr>
              <w:widowControl w:val="0"/>
              <w:tabs>
                <w:tab w:val="center" w:pos="4677"/>
                <w:tab w:val="right" w:pos="9355"/>
              </w:tabs>
              <w:spacing w:after="0" w:line="240" w:lineRule="auto"/>
              <w:jc w:val="center"/>
              <w:rPr>
                <w:rFonts w:ascii="Times New Roman" w:hAnsi="Times New Roman" w:cs="Times New Roman"/>
                <w:sz w:val="20"/>
                <w:szCs w:val="20"/>
              </w:rPr>
            </w:pPr>
            <w:r w:rsidRPr="00285A46">
              <w:rPr>
                <w:rFonts w:ascii="Times New Roman" w:hAnsi="Times New Roman" w:cs="Times New Roman"/>
                <w:sz w:val="20"/>
                <w:szCs w:val="20"/>
              </w:rPr>
              <w:t>0,3 (30%)</w:t>
            </w: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48813613" w14:textId="77777777" w:rsidR="0025397C" w:rsidRPr="00285A46" w:rsidRDefault="0025397C">
            <w:pPr>
              <w:widowControl w:val="0"/>
              <w:tabs>
                <w:tab w:val="center" w:pos="4677"/>
                <w:tab w:val="right" w:pos="9355"/>
              </w:tabs>
              <w:spacing w:after="0" w:line="240" w:lineRule="auto"/>
              <w:jc w:val="both"/>
              <w:rPr>
                <w:rFonts w:ascii="Times New Roman" w:hAnsi="Times New Roman" w:cs="Times New Roman"/>
                <w:sz w:val="20"/>
                <w:szCs w:val="20"/>
              </w:rPr>
            </w:pPr>
            <w:r w:rsidRPr="00285A46">
              <w:rPr>
                <w:rFonts w:ascii="Times New Roman" w:hAnsi="Times New Roman" w:cs="Times New Roman"/>
                <w:sz w:val="20"/>
                <w:szCs w:val="20"/>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использующих упрощенную систему налогообложения) за последний год</w:t>
            </w:r>
          </w:p>
        </w:tc>
      </w:tr>
      <w:tr w:rsidR="0025397C" w:rsidRPr="00285A46" w14:paraId="5B93098A"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5F7807C1"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2.2.1.</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1ACE7119"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Размер выручки лизингодателя за предыдущий отчетный год</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CD59AD4"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Размер выручки лизингодателя за предыдущий отчетный год составляет 20 млрд. рублей (включительно) и более</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9A1B38C"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71D78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9653AF2" w14:textId="77777777" w:rsidR="0025397C" w:rsidRPr="00285A46" w:rsidRDefault="0025397C">
            <w:pPr>
              <w:spacing w:after="0"/>
              <w:rPr>
                <w:rFonts w:ascii="Times New Roman" w:hAnsi="Times New Roman" w:cs="Times New Roman"/>
                <w:sz w:val="20"/>
                <w:szCs w:val="20"/>
              </w:rPr>
            </w:pPr>
          </w:p>
        </w:tc>
      </w:tr>
      <w:tr w:rsidR="0025397C" w:rsidRPr="00285A46" w14:paraId="774B9258"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32E1D2BE"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1C5E942C"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73672AF5"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Размер выручки лизингодателя за предыдущий отчетный год составляет 15 млрд. рублей (включительно) и более, но менее 20 млрд.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7E7E413"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40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6259C78"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BF09331" w14:textId="77777777" w:rsidR="0025397C" w:rsidRPr="00285A46" w:rsidRDefault="0025397C">
            <w:pPr>
              <w:spacing w:after="0"/>
              <w:rPr>
                <w:rFonts w:ascii="Times New Roman" w:hAnsi="Times New Roman" w:cs="Times New Roman"/>
                <w:sz w:val="20"/>
                <w:szCs w:val="20"/>
              </w:rPr>
            </w:pPr>
          </w:p>
        </w:tc>
      </w:tr>
      <w:tr w:rsidR="0025397C" w:rsidRPr="00285A46" w14:paraId="7CE61734"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93A281D"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3721BAF9"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40EC584"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Размер выручки лизингодателя за предыдущий отчетный год составляет 10 млрд. рублей (включительно) и более, но менее 15 млрд.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5BC115F"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30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AF36118"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5E0D206" w14:textId="77777777" w:rsidR="0025397C" w:rsidRPr="00285A46" w:rsidRDefault="0025397C">
            <w:pPr>
              <w:spacing w:after="0"/>
              <w:rPr>
                <w:rFonts w:ascii="Times New Roman" w:hAnsi="Times New Roman" w:cs="Times New Roman"/>
                <w:sz w:val="20"/>
                <w:szCs w:val="20"/>
              </w:rPr>
            </w:pPr>
          </w:p>
        </w:tc>
      </w:tr>
      <w:tr w:rsidR="0025397C" w:rsidRPr="00285A46" w14:paraId="10F9F319"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2151CBB"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1EFBE8B5"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411B3920"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Размер выручки лизингодателя за предыдущий отчетный год составляет 5 млрд. рублей (включительно) и более, но менее 10 млрд.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C6B6481"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20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FB8792"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28CDCA9" w14:textId="77777777" w:rsidR="0025397C" w:rsidRPr="00285A46" w:rsidRDefault="0025397C">
            <w:pPr>
              <w:spacing w:after="0"/>
              <w:rPr>
                <w:rFonts w:ascii="Times New Roman" w:hAnsi="Times New Roman" w:cs="Times New Roman"/>
                <w:sz w:val="20"/>
                <w:szCs w:val="20"/>
              </w:rPr>
            </w:pPr>
          </w:p>
        </w:tc>
      </w:tr>
      <w:tr w:rsidR="0025397C" w:rsidRPr="00285A46" w14:paraId="6812F177"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5FEFC64B"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C971EA4"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C7F2291"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Размер выручки лизингодателя за предыдущий отчетный год составляет менее 5 млрд.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545DD5DD"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10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E25A2D"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CAA307D" w14:textId="77777777" w:rsidR="0025397C" w:rsidRPr="00285A46" w:rsidRDefault="0025397C">
            <w:pPr>
              <w:spacing w:after="0"/>
              <w:rPr>
                <w:rFonts w:ascii="Times New Roman" w:hAnsi="Times New Roman" w:cs="Times New Roman"/>
                <w:sz w:val="20"/>
                <w:szCs w:val="20"/>
              </w:rPr>
            </w:pPr>
          </w:p>
        </w:tc>
      </w:tr>
      <w:tr w:rsidR="0025397C" w:rsidRPr="00285A46" w14:paraId="39F407F5"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39C65C11"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2.2.2.</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09C6B8FE"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Величина уставного капитала лизинговой организации по состоянию на предыдущий отчетный год</w:t>
            </w:r>
          </w:p>
        </w:tc>
        <w:tc>
          <w:tcPr>
            <w:tcW w:w="3119" w:type="dxa"/>
            <w:tcBorders>
              <w:top w:val="single" w:sz="4" w:space="0" w:color="auto"/>
              <w:left w:val="single" w:sz="4" w:space="0" w:color="auto"/>
              <w:bottom w:val="single" w:sz="4" w:space="0" w:color="auto"/>
              <w:right w:val="single" w:sz="4" w:space="0" w:color="auto"/>
            </w:tcBorders>
            <w:noWrap/>
            <w:hideMark/>
          </w:tcPr>
          <w:p w14:paraId="27B3A052"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Величина уставного капитала лизинговой организации составляет 50 млн. рублей (включительно) и более</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11A3E89"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DDD1F4" w14:textId="77777777" w:rsidR="0025397C" w:rsidRPr="00285A46" w:rsidRDefault="0025397C">
            <w:pPr>
              <w:spacing w:after="0"/>
              <w:rPr>
                <w:rFonts w:ascii="Times New Roman" w:hAnsi="Times New Roman" w:cs="Times New Roman"/>
                <w:sz w:val="20"/>
                <w:szCs w:val="20"/>
              </w:rPr>
            </w:pPr>
          </w:p>
        </w:tc>
        <w:tc>
          <w:tcPr>
            <w:tcW w:w="2437" w:type="dxa"/>
            <w:vMerge w:val="restart"/>
            <w:tcBorders>
              <w:top w:val="single" w:sz="4" w:space="0" w:color="auto"/>
              <w:left w:val="single" w:sz="4" w:space="0" w:color="auto"/>
              <w:bottom w:val="single" w:sz="4" w:space="0" w:color="auto"/>
              <w:right w:val="single" w:sz="4" w:space="0" w:color="auto"/>
            </w:tcBorders>
            <w:noWrap/>
          </w:tcPr>
          <w:p w14:paraId="16CC62B9"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p>
        </w:tc>
      </w:tr>
      <w:tr w:rsidR="0025397C" w:rsidRPr="00285A46" w14:paraId="438F3675"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61E2170C"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399B076B"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0B786878"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Величина уставного капитала лизинговой организации составляет 25 млн. рублей (включительно) и более, но менее 50 млн.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54C79D8"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37,50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EB1A6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361A1F6" w14:textId="77777777" w:rsidR="0025397C" w:rsidRPr="00285A46" w:rsidRDefault="0025397C">
            <w:pPr>
              <w:spacing w:after="0"/>
              <w:rPr>
                <w:rFonts w:ascii="Times New Roman" w:hAnsi="Times New Roman" w:cs="Times New Roman"/>
                <w:sz w:val="20"/>
                <w:szCs w:val="20"/>
              </w:rPr>
            </w:pPr>
          </w:p>
        </w:tc>
      </w:tr>
      <w:tr w:rsidR="0025397C" w:rsidRPr="00285A46" w14:paraId="13048405"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6828FA0C"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70D8C82"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DD40B27"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Величина уставного капитала лизинговой организации составляет 10 млн. рублей (включительно) и более, но менее 25 млн.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ABCAC4A"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25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2A538B"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9D3F255" w14:textId="77777777" w:rsidR="0025397C" w:rsidRPr="00285A46" w:rsidRDefault="0025397C">
            <w:pPr>
              <w:spacing w:after="0"/>
              <w:rPr>
                <w:rFonts w:ascii="Times New Roman" w:hAnsi="Times New Roman" w:cs="Times New Roman"/>
                <w:sz w:val="20"/>
                <w:szCs w:val="20"/>
              </w:rPr>
            </w:pPr>
          </w:p>
        </w:tc>
      </w:tr>
      <w:tr w:rsidR="0025397C" w:rsidRPr="00285A46" w14:paraId="0B2BB56B"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F495ED4"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2CC7A889"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0299481F"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Величина уставного капитала лизинговой организации составляет менее 10 млн. рублей</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D707127"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12,50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B1BF3B"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7023803" w14:textId="77777777" w:rsidR="0025397C" w:rsidRPr="00285A46" w:rsidRDefault="0025397C">
            <w:pPr>
              <w:spacing w:after="0"/>
              <w:rPr>
                <w:rFonts w:ascii="Times New Roman" w:hAnsi="Times New Roman" w:cs="Times New Roman"/>
                <w:sz w:val="20"/>
                <w:szCs w:val="20"/>
              </w:rPr>
            </w:pPr>
          </w:p>
        </w:tc>
      </w:tr>
      <w:tr w:rsidR="0025397C" w:rsidRPr="00285A46" w14:paraId="25B0B1B1"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26DB73AF"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b/>
                <w:sz w:val="20"/>
                <w:szCs w:val="20"/>
              </w:rPr>
            </w:pPr>
            <w:r w:rsidRPr="00285A46">
              <w:rPr>
                <w:rFonts w:ascii="Times New Roman" w:hAnsi="Times New Roman" w:cs="Times New Roman"/>
                <w:b/>
                <w:sz w:val="20"/>
                <w:szCs w:val="20"/>
              </w:rPr>
              <w:t>2.3.</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4BF1C1B0"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b/>
                <w:sz w:val="20"/>
                <w:szCs w:val="20"/>
              </w:rPr>
            </w:pPr>
            <w:r w:rsidRPr="00285A46">
              <w:rPr>
                <w:rFonts w:ascii="Times New Roman" w:hAnsi="Times New Roman" w:cs="Times New Roman"/>
                <w:b/>
                <w:sz w:val="20"/>
                <w:szCs w:val="20"/>
              </w:rPr>
              <w:t>Наличие опыта по успешной поставке продукции сопоставимого характера и объема</w:t>
            </w:r>
          </w:p>
        </w:tc>
        <w:tc>
          <w:tcPr>
            <w:tcW w:w="3119" w:type="dxa"/>
            <w:tcBorders>
              <w:top w:val="single" w:sz="4" w:space="0" w:color="auto"/>
              <w:left w:val="single" w:sz="4" w:space="0" w:color="auto"/>
              <w:bottom w:val="single" w:sz="4" w:space="0" w:color="auto"/>
              <w:right w:val="single" w:sz="4" w:space="0" w:color="auto"/>
            </w:tcBorders>
            <w:noWrap/>
            <w:hideMark/>
          </w:tcPr>
          <w:p w14:paraId="14A050DC"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В рамках подкритерия оценивается наличие у лизингодателя опыта оказания услуг сопоставимого характера</w:t>
            </w:r>
            <w:r w:rsidRPr="00285A46">
              <w:rPr>
                <w:rStyle w:val="af0"/>
                <w:sz w:val="20"/>
                <w:szCs w:val="20"/>
              </w:rPr>
              <w:footnoteReference w:id="1"/>
            </w:r>
            <w:r w:rsidRPr="00285A46">
              <w:rPr>
                <w:rFonts w:ascii="Times New Roman" w:hAnsi="Times New Roman" w:cs="Times New Roman"/>
                <w:sz w:val="20"/>
                <w:szCs w:val="20"/>
              </w:rPr>
              <w:t xml:space="preserve"> и объема</w:t>
            </w:r>
            <w:r w:rsidRPr="00285A46">
              <w:rPr>
                <w:rStyle w:val="af0"/>
                <w:sz w:val="20"/>
                <w:szCs w:val="20"/>
              </w:rPr>
              <w:footnoteReference w:id="2"/>
            </w:r>
            <w:r w:rsidRPr="00285A46">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noWrap/>
            <w:hideMark/>
          </w:tcPr>
          <w:p w14:paraId="654ACC2E" w14:textId="77777777" w:rsidR="0025397C" w:rsidRPr="00285A46" w:rsidRDefault="0025397C">
            <w:pPr>
              <w:jc w:val="center"/>
              <w:rPr>
                <w:rFonts w:ascii="Times New Roman" w:hAnsi="Times New Roman" w:cs="Times New Roman"/>
                <w:sz w:val="20"/>
                <w:szCs w:val="20"/>
              </w:rPr>
            </w:pPr>
            <w:r w:rsidRPr="00285A46">
              <w:rPr>
                <w:rFonts w:ascii="Times New Roman" w:hAnsi="Times New Roman" w:cs="Times New Roman"/>
                <w:sz w:val="20"/>
                <w:szCs w:val="20"/>
              </w:rPr>
              <w:t xml:space="preserve">100, </w:t>
            </w:r>
          </w:p>
          <w:p w14:paraId="0187ECC3"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при этом:</w:t>
            </w:r>
          </w:p>
        </w:tc>
        <w:tc>
          <w:tcPr>
            <w:tcW w:w="1275" w:type="dxa"/>
            <w:vMerge w:val="restart"/>
            <w:tcBorders>
              <w:top w:val="single" w:sz="4" w:space="0" w:color="auto"/>
              <w:left w:val="single" w:sz="4" w:space="0" w:color="auto"/>
              <w:bottom w:val="single" w:sz="4" w:space="0" w:color="auto"/>
              <w:right w:val="single" w:sz="4" w:space="0" w:color="auto"/>
            </w:tcBorders>
            <w:noWrap/>
            <w:hideMark/>
          </w:tcPr>
          <w:p w14:paraId="5692A578" w14:textId="77777777" w:rsidR="0025397C" w:rsidRPr="00285A46" w:rsidRDefault="0025397C">
            <w:pPr>
              <w:keepNext/>
              <w:keepLines/>
              <w:widowControl w:val="0"/>
              <w:tabs>
                <w:tab w:val="center" w:pos="4677"/>
                <w:tab w:val="right" w:pos="9355"/>
              </w:tabs>
              <w:suppressAutoHyphens/>
              <w:spacing w:after="0" w:line="240" w:lineRule="auto"/>
              <w:jc w:val="center"/>
              <w:outlineLvl w:val="1"/>
              <w:rPr>
                <w:rFonts w:ascii="Times New Roman" w:hAnsi="Times New Roman" w:cs="Times New Roman"/>
                <w:sz w:val="20"/>
                <w:szCs w:val="20"/>
              </w:rPr>
            </w:pPr>
            <w:r w:rsidRPr="00285A46">
              <w:rPr>
                <w:rFonts w:ascii="Times New Roman" w:hAnsi="Times New Roman" w:cs="Times New Roman"/>
                <w:sz w:val="20"/>
                <w:szCs w:val="20"/>
              </w:rPr>
              <w:t>0,1 (10%)</w:t>
            </w:r>
          </w:p>
        </w:tc>
        <w:tc>
          <w:tcPr>
            <w:tcW w:w="2437" w:type="dxa"/>
            <w:vMerge w:val="restart"/>
            <w:tcBorders>
              <w:top w:val="single" w:sz="4" w:space="0" w:color="auto"/>
              <w:left w:val="single" w:sz="4" w:space="0" w:color="auto"/>
              <w:bottom w:val="single" w:sz="4" w:space="0" w:color="auto"/>
              <w:right w:val="single" w:sz="4" w:space="0" w:color="auto"/>
            </w:tcBorders>
            <w:noWrap/>
          </w:tcPr>
          <w:p w14:paraId="52E2C203" w14:textId="77777777" w:rsidR="0025397C" w:rsidRPr="00285A46" w:rsidRDefault="0025397C">
            <w:pPr>
              <w:spacing w:after="0" w:line="240" w:lineRule="auto"/>
              <w:jc w:val="both"/>
              <w:rPr>
                <w:rFonts w:ascii="Times New Roman" w:hAnsi="Times New Roman" w:cs="Times New Roman"/>
                <w:sz w:val="20"/>
                <w:szCs w:val="20"/>
                <w:lang w:eastAsia="ru-RU"/>
              </w:rPr>
            </w:pPr>
            <w:r w:rsidRPr="00285A46">
              <w:rPr>
                <w:rFonts w:ascii="Times New Roman" w:hAnsi="Times New Roman" w:cs="Times New Roman"/>
                <w:sz w:val="20"/>
                <w:szCs w:val="2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285A46">
              <w:rPr>
                <w:rStyle w:val="af0"/>
                <w:sz w:val="20"/>
                <w:szCs w:val="20"/>
              </w:rPr>
              <w:footnoteReference w:id="3"/>
            </w:r>
            <w:r w:rsidRPr="00285A46">
              <w:rPr>
                <w:rFonts w:ascii="Times New Roman" w:hAnsi="Times New Roman" w:cs="Times New Roman"/>
                <w:sz w:val="20"/>
                <w:szCs w:val="20"/>
                <w:lang w:eastAsia="ru-RU"/>
              </w:rPr>
              <w:t xml:space="preserve"> </w:t>
            </w:r>
          </w:p>
          <w:p w14:paraId="6039D517"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p>
        </w:tc>
      </w:tr>
      <w:tr w:rsidR="0025397C" w:rsidRPr="00285A46" w14:paraId="17D6A1A8"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069DA115" w14:textId="77777777" w:rsidR="0025397C" w:rsidRPr="00285A46" w:rsidRDefault="0025397C">
            <w:pPr>
              <w:spacing w:after="0"/>
              <w:rPr>
                <w:rFonts w:ascii="Times New Roman" w:hAnsi="Times New Roman" w:cs="Times New Roman"/>
                <w:b/>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68394492" w14:textId="77777777" w:rsidR="0025397C" w:rsidRPr="00285A46" w:rsidRDefault="0025397C">
            <w:pPr>
              <w:spacing w:after="0"/>
              <w:rPr>
                <w:rFonts w:ascii="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780879BD"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851" w:type="dxa"/>
            <w:tcBorders>
              <w:top w:val="single" w:sz="4" w:space="0" w:color="auto"/>
              <w:left w:val="single" w:sz="4" w:space="0" w:color="auto"/>
              <w:bottom w:val="single" w:sz="4" w:space="0" w:color="auto"/>
              <w:right w:val="single" w:sz="4" w:space="0" w:color="auto"/>
            </w:tcBorders>
            <w:noWrap/>
            <w:hideMark/>
          </w:tcPr>
          <w:p w14:paraId="78334CA8"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100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10B2C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2A67B58" w14:textId="77777777" w:rsidR="0025397C" w:rsidRPr="00285A46" w:rsidRDefault="0025397C">
            <w:pPr>
              <w:spacing w:after="0"/>
              <w:rPr>
                <w:rFonts w:ascii="Times New Roman" w:hAnsi="Times New Roman" w:cs="Times New Roman"/>
                <w:sz w:val="20"/>
                <w:szCs w:val="20"/>
              </w:rPr>
            </w:pPr>
          </w:p>
        </w:tc>
      </w:tr>
      <w:tr w:rsidR="0025397C" w:rsidRPr="00285A46" w14:paraId="06297E27"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00476D6" w14:textId="77777777" w:rsidR="0025397C" w:rsidRPr="00285A46" w:rsidRDefault="0025397C">
            <w:pPr>
              <w:spacing w:after="0"/>
              <w:rPr>
                <w:rFonts w:ascii="Times New Roman" w:hAnsi="Times New Roman" w:cs="Times New Roman"/>
                <w:b/>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664FAA2F" w14:textId="77777777" w:rsidR="0025397C" w:rsidRPr="00285A46" w:rsidRDefault="0025397C">
            <w:pPr>
              <w:spacing w:after="0"/>
              <w:rPr>
                <w:rFonts w:ascii="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1940C0FE"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Лизингодатель имеет успешный опыт исполнения 3 договоров (контрактов) на оказание лизинговых услуг с ценой, не менее НМЦ каждый</w:t>
            </w:r>
          </w:p>
        </w:tc>
        <w:tc>
          <w:tcPr>
            <w:tcW w:w="851" w:type="dxa"/>
            <w:tcBorders>
              <w:top w:val="single" w:sz="4" w:space="0" w:color="auto"/>
              <w:left w:val="single" w:sz="4" w:space="0" w:color="auto"/>
              <w:bottom w:val="single" w:sz="4" w:space="0" w:color="auto"/>
              <w:right w:val="single" w:sz="4" w:space="0" w:color="auto"/>
            </w:tcBorders>
            <w:noWrap/>
            <w:hideMark/>
          </w:tcPr>
          <w:p w14:paraId="643883AC"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75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7204E8D"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D7254BB" w14:textId="77777777" w:rsidR="0025397C" w:rsidRPr="00285A46" w:rsidRDefault="0025397C">
            <w:pPr>
              <w:spacing w:after="0"/>
              <w:rPr>
                <w:rFonts w:ascii="Times New Roman" w:hAnsi="Times New Roman" w:cs="Times New Roman"/>
                <w:sz w:val="20"/>
                <w:szCs w:val="20"/>
              </w:rPr>
            </w:pPr>
          </w:p>
        </w:tc>
      </w:tr>
      <w:tr w:rsidR="0025397C" w:rsidRPr="00285A46" w14:paraId="611287A6"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00D94715" w14:textId="77777777" w:rsidR="0025397C" w:rsidRPr="00285A46" w:rsidRDefault="0025397C">
            <w:pPr>
              <w:spacing w:after="0"/>
              <w:rPr>
                <w:rFonts w:ascii="Times New Roman" w:hAnsi="Times New Roman" w:cs="Times New Roman"/>
                <w:b/>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2A88AADA" w14:textId="77777777" w:rsidR="0025397C" w:rsidRPr="00285A46" w:rsidRDefault="0025397C">
            <w:pPr>
              <w:spacing w:after="0"/>
              <w:rPr>
                <w:rFonts w:ascii="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580F25D7"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Лизингодатель имеет успешный опыт исполнения 2 договоров (контрактов) на оказание лизинговых услуг с ценой, не менее НМЦ каждый</w:t>
            </w:r>
          </w:p>
        </w:tc>
        <w:tc>
          <w:tcPr>
            <w:tcW w:w="851" w:type="dxa"/>
            <w:tcBorders>
              <w:top w:val="single" w:sz="4" w:space="0" w:color="auto"/>
              <w:left w:val="single" w:sz="4" w:space="0" w:color="auto"/>
              <w:bottom w:val="single" w:sz="4" w:space="0" w:color="auto"/>
              <w:right w:val="single" w:sz="4" w:space="0" w:color="auto"/>
            </w:tcBorders>
            <w:noWrap/>
            <w:hideMark/>
          </w:tcPr>
          <w:p w14:paraId="582B9ABC"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DBF69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08ECB1A" w14:textId="77777777" w:rsidR="0025397C" w:rsidRPr="00285A46" w:rsidRDefault="0025397C">
            <w:pPr>
              <w:spacing w:after="0"/>
              <w:rPr>
                <w:rFonts w:ascii="Times New Roman" w:hAnsi="Times New Roman" w:cs="Times New Roman"/>
                <w:sz w:val="20"/>
                <w:szCs w:val="20"/>
              </w:rPr>
            </w:pPr>
          </w:p>
        </w:tc>
      </w:tr>
      <w:tr w:rsidR="0025397C" w:rsidRPr="00285A46" w14:paraId="01947FC9" w14:textId="77777777" w:rsidTr="0025397C">
        <w:trPr>
          <w:trHeight w:val="1577"/>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EEAD807" w14:textId="77777777" w:rsidR="0025397C" w:rsidRPr="00285A46" w:rsidRDefault="0025397C">
            <w:pPr>
              <w:spacing w:after="0"/>
              <w:rPr>
                <w:rFonts w:ascii="Times New Roman" w:hAnsi="Times New Roman" w:cs="Times New Roman"/>
                <w:b/>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326E4D86" w14:textId="77777777" w:rsidR="0025397C" w:rsidRPr="00285A46" w:rsidRDefault="0025397C">
            <w:pPr>
              <w:spacing w:after="0"/>
              <w:rPr>
                <w:rFonts w:ascii="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CA0E45F"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851" w:type="dxa"/>
            <w:tcBorders>
              <w:top w:val="single" w:sz="4" w:space="0" w:color="auto"/>
              <w:left w:val="single" w:sz="4" w:space="0" w:color="auto"/>
              <w:bottom w:val="single" w:sz="4" w:space="0" w:color="auto"/>
              <w:right w:val="single" w:sz="4" w:space="0" w:color="auto"/>
            </w:tcBorders>
            <w:noWrap/>
            <w:hideMark/>
          </w:tcPr>
          <w:p w14:paraId="5365F06B"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25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8C525E5"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E4B80AF" w14:textId="77777777" w:rsidR="0025397C" w:rsidRPr="00285A46" w:rsidRDefault="0025397C">
            <w:pPr>
              <w:spacing w:after="0"/>
              <w:rPr>
                <w:rFonts w:ascii="Times New Roman" w:hAnsi="Times New Roman" w:cs="Times New Roman"/>
                <w:sz w:val="20"/>
                <w:szCs w:val="20"/>
              </w:rPr>
            </w:pPr>
          </w:p>
        </w:tc>
      </w:tr>
      <w:tr w:rsidR="0025397C" w:rsidRPr="00285A46" w14:paraId="2B05C8A6" w14:textId="77777777" w:rsidTr="0025397C">
        <w:tc>
          <w:tcPr>
            <w:tcW w:w="562" w:type="dxa"/>
            <w:tcBorders>
              <w:top w:val="single" w:sz="4" w:space="0" w:color="auto"/>
              <w:left w:val="single" w:sz="4" w:space="0" w:color="auto"/>
              <w:bottom w:val="single" w:sz="4" w:space="0" w:color="auto"/>
              <w:right w:val="single" w:sz="4" w:space="0" w:color="auto"/>
            </w:tcBorders>
            <w:noWrap/>
            <w:hideMark/>
          </w:tcPr>
          <w:p w14:paraId="38F6FD10" w14:textId="77777777" w:rsidR="0025397C" w:rsidRPr="00285A46" w:rsidRDefault="0025397C">
            <w:pPr>
              <w:widowControl w:val="0"/>
              <w:tabs>
                <w:tab w:val="center" w:pos="4677"/>
                <w:tab w:val="right" w:pos="9355"/>
              </w:tabs>
              <w:spacing w:after="0" w:line="240" w:lineRule="auto"/>
              <w:jc w:val="center"/>
              <w:outlineLvl w:val="1"/>
              <w:rPr>
                <w:rFonts w:ascii="Times New Roman" w:hAnsi="Times New Roman" w:cs="Times New Roman"/>
                <w:b/>
                <w:sz w:val="20"/>
                <w:szCs w:val="20"/>
              </w:rPr>
            </w:pPr>
            <w:r w:rsidRPr="00285A46">
              <w:rPr>
                <w:rFonts w:ascii="Times New Roman" w:hAnsi="Times New Roman" w:cs="Times New Roman"/>
                <w:b/>
                <w:sz w:val="20"/>
                <w:szCs w:val="20"/>
              </w:rPr>
              <w:t>2.4.</w:t>
            </w:r>
          </w:p>
        </w:tc>
        <w:tc>
          <w:tcPr>
            <w:tcW w:w="2104" w:type="dxa"/>
            <w:tcBorders>
              <w:top w:val="single" w:sz="4" w:space="0" w:color="auto"/>
              <w:left w:val="single" w:sz="4" w:space="0" w:color="auto"/>
              <w:bottom w:val="single" w:sz="4" w:space="0" w:color="auto"/>
              <w:right w:val="single" w:sz="4" w:space="0" w:color="auto"/>
            </w:tcBorders>
            <w:noWrap/>
            <w:hideMark/>
          </w:tcPr>
          <w:p w14:paraId="76572DBF"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b/>
                <w:sz w:val="20"/>
                <w:szCs w:val="20"/>
              </w:rPr>
              <w:t>Репутация участника закупки</w:t>
            </w:r>
          </w:p>
        </w:tc>
        <w:tc>
          <w:tcPr>
            <w:tcW w:w="3119" w:type="dxa"/>
            <w:tcBorders>
              <w:top w:val="single" w:sz="4" w:space="0" w:color="auto"/>
              <w:left w:val="single" w:sz="4" w:space="0" w:color="auto"/>
              <w:bottom w:val="single" w:sz="4" w:space="0" w:color="auto"/>
              <w:right w:val="single" w:sz="4" w:space="0" w:color="auto"/>
            </w:tcBorders>
            <w:noWrap/>
            <w:hideMark/>
          </w:tcPr>
          <w:p w14:paraId="0982E303"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sz w:val="20"/>
                <w:szCs w:val="20"/>
              </w:rPr>
              <w:t>В рамках подкритерия оцениваются:</w:t>
            </w:r>
          </w:p>
        </w:tc>
        <w:tc>
          <w:tcPr>
            <w:tcW w:w="851" w:type="dxa"/>
            <w:tcBorders>
              <w:top w:val="single" w:sz="4" w:space="0" w:color="auto"/>
              <w:left w:val="single" w:sz="4" w:space="0" w:color="auto"/>
              <w:bottom w:val="single" w:sz="4" w:space="0" w:color="auto"/>
              <w:right w:val="single" w:sz="4" w:space="0" w:color="auto"/>
            </w:tcBorders>
            <w:noWrap/>
            <w:hideMark/>
          </w:tcPr>
          <w:p w14:paraId="7D4BAFD8"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sz w:val="20"/>
                <w:szCs w:val="20"/>
              </w:rPr>
              <w:t>100, в том числе:</w:t>
            </w:r>
          </w:p>
        </w:tc>
        <w:tc>
          <w:tcPr>
            <w:tcW w:w="1275" w:type="dxa"/>
            <w:vMerge w:val="restart"/>
            <w:tcBorders>
              <w:top w:val="single" w:sz="4" w:space="0" w:color="auto"/>
              <w:left w:val="single" w:sz="4" w:space="0" w:color="auto"/>
              <w:bottom w:val="single" w:sz="4" w:space="0" w:color="auto"/>
              <w:right w:val="single" w:sz="4" w:space="0" w:color="auto"/>
            </w:tcBorders>
            <w:noWrap/>
            <w:hideMark/>
          </w:tcPr>
          <w:p w14:paraId="5BA5F5CA" w14:textId="77777777" w:rsidR="0025397C" w:rsidRPr="00285A46" w:rsidRDefault="0025397C">
            <w:pPr>
              <w:keepNext/>
              <w:keepLines/>
              <w:widowControl w:val="0"/>
              <w:tabs>
                <w:tab w:val="center" w:pos="4677"/>
                <w:tab w:val="right" w:pos="9355"/>
              </w:tabs>
              <w:suppressAutoHyphens/>
              <w:spacing w:after="0" w:line="240" w:lineRule="auto"/>
              <w:jc w:val="center"/>
              <w:outlineLvl w:val="1"/>
              <w:rPr>
                <w:rFonts w:ascii="Times New Roman" w:hAnsi="Times New Roman" w:cs="Times New Roman"/>
                <w:sz w:val="20"/>
                <w:szCs w:val="20"/>
              </w:rPr>
            </w:pPr>
            <w:r w:rsidRPr="00285A46">
              <w:rPr>
                <w:rFonts w:ascii="Times New Roman" w:hAnsi="Times New Roman" w:cs="Times New Roman"/>
                <w:sz w:val="20"/>
                <w:szCs w:val="20"/>
              </w:rPr>
              <w:t>0,5 (50%)</w:t>
            </w: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08D33E32"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Сведения подтверждаются выпиской из ЕГРЮЛ или нотариально заверенной копией выписки из ЕГРЮЛ, предоставленной в составе заявки на участие в закупке</w:t>
            </w:r>
          </w:p>
        </w:tc>
      </w:tr>
      <w:tr w:rsidR="0025397C" w:rsidRPr="00285A46" w14:paraId="49FA2F67"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17EF62E5" w14:textId="77777777" w:rsidR="0025397C" w:rsidRPr="00285A46" w:rsidRDefault="0025397C">
            <w:pPr>
              <w:widowControl w:val="0"/>
              <w:tabs>
                <w:tab w:val="center" w:pos="4677"/>
                <w:tab w:val="right" w:pos="9355"/>
              </w:tabs>
              <w:spacing w:after="0" w:line="240" w:lineRule="auto"/>
              <w:jc w:val="center"/>
              <w:outlineLvl w:val="1"/>
              <w:rPr>
                <w:rFonts w:ascii="Times New Roman" w:hAnsi="Times New Roman" w:cs="Times New Roman"/>
                <w:sz w:val="20"/>
                <w:szCs w:val="20"/>
              </w:rPr>
            </w:pPr>
            <w:r w:rsidRPr="00285A46">
              <w:rPr>
                <w:rFonts w:ascii="Times New Roman" w:hAnsi="Times New Roman" w:cs="Times New Roman"/>
                <w:sz w:val="20"/>
                <w:szCs w:val="20"/>
              </w:rPr>
              <w:t>2.4.1</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55B1B5D2"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3119" w:type="dxa"/>
            <w:tcBorders>
              <w:top w:val="single" w:sz="4" w:space="0" w:color="auto"/>
              <w:left w:val="single" w:sz="4" w:space="0" w:color="auto"/>
              <w:bottom w:val="single" w:sz="4" w:space="0" w:color="auto"/>
              <w:right w:val="single" w:sz="4" w:space="0" w:color="auto"/>
            </w:tcBorders>
            <w:noWrap/>
            <w:hideMark/>
          </w:tcPr>
          <w:p w14:paraId="1D990FD5"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Наличие</w:t>
            </w:r>
          </w:p>
        </w:tc>
        <w:tc>
          <w:tcPr>
            <w:tcW w:w="851" w:type="dxa"/>
            <w:tcBorders>
              <w:top w:val="single" w:sz="4" w:space="0" w:color="auto"/>
              <w:left w:val="single" w:sz="4" w:space="0" w:color="auto"/>
              <w:bottom w:val="single" w:sz="4" w:space="0" w:color="auto"/>
              <w:right w:val="single" w:sz="4" w:space="0" w:color="auto"/>
            </w:tcBorders>
            <w:noWrap/>
            <w:hideMark/>
          </w:tcPr>
          <w:p w14:paraId="1401305A"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10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A8BB99"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40319A53" w14:textId="77777777" w:rsidR="0025397C" w:rsidRPr="00285A46" w:rsidRDefault="0025397C">
            <w:pPr>
              <w:spacing w:after="0"/>
              <w:rPr>
                <w:rFonts w:ascii="Times New Roman" w:hAnsi="Times New Roman" w:cs="Times New Roman"/>
                <w:sz w:val="20"/>
                <w:szCs w:val="20"/>
              </w:rPr>
            </w:pPr>
          </w:p>
        </w:tc>
      </w:tr>
      <w:tr w:rsidR="0025397C" w:rsidRPr="00285A46" w14:paraId="7CF76A0C"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1DF966AD"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3E4AFAD"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7734357E"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Отсутствие</w:t>
            </w:r>
          </w:p>
        </w:tc>
        <w:tc>
          <w:tcPr>
            <w:tcW w:w="851" w:type="dxa"/>
            <w:tcBorders>
              <w:top w:val="single" w:sz="4" w:space="0" w:color="auto"/>
              <w:left w:val="single" w:sz="4" w:space="0" w:color="auto"/>
              <w:bottom w:val="single" w:sz="4" w:space="0" w:color="auto"/>
              <w:right w:val="single" w:sz="4" w:space="0" w:color="auto"/>
            </w:tcBorders>
            <w:noWrap/>
            <w:hideMark/>
          </w:tcPr>
          <w:p w14:paraId="28F52513"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9C1EF2"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35C09FA" w14:textId="77777777" w:rsidR="0025397C" w:rsidRPr="00285A46" w:rsidRDefault="0025397C">
            <w:pPr>
              <w:spacing w:after="0"/>
              <w:rPr>
                <w:rFonts w:ascii="Times New Roman" w:hAnsi="Times New Roman" w:cs="Times New Roman"/>
                <w:sz w:val="20"/>
                <w:szCs w:val="20"/>
              </w:rPr>
            </w:pPr>
          </w:p>
        </w:tc>
      </w:tr>
      <w:tr w:rsidR="0025397C" w:rsidRPr="00285A46" w14:paraId="362A8452"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3AAC5156"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2.4.2</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7FB91732"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Наличие у лизингодателя соглашения о финансировании с банками, объем активов которых по состоянию на предыдущий отчетный год равен 2,5 трлн. руб. и более</w:t>
            </w:r>
          </w:p>
        </w:tc>
        <w:tc>
          <w:tcPr>
            <w:tcW w:w="3119" w:type="dxa"/>
            <w:tcBorders>
              <w:top w:val="single" w:sz="4" w:space="0" w:color="auto"/>
              <w:left w:val="single" w:sz="4" w:space="0" w:color="auto"/>
              <w:bottom w:val="single" w:sz="4" w:space="0" w:color="auto"/>
              <w:right w:val="single" w:sz="4" w:space="0" w:color="auto"/>
            </w:tcBorders>
            <w:noWrap/>
            <w:hideMark/>
          </w:tcPr>
          <w:p w14:paraId="7ABBD9E3"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Наличие таких соглашений с 5 банками и более</w:t>
            </w:r>
          </w:p>
        </w:tc>
        <w:tc>
          <w:tcPr>
            <w:tcW w:w="851" w:type="dxa"/>
            <w:tcBorders>
              <w:top w:val="single" w:sz="4" w:space="0" w:color="auto"/>
              <w:left w:val="single" w:sz="4" w:space="0" w:color="auto"/>
              <w:bottom w:val="single" w:sz="4" w:space="0" w:color="auto"/>
              <w:right w:val="single" w:sz="4" w:space="0" w:color="auto"/>
            </w:tcBorders>
            <w:noWrap/>
            <w:hideMark/>
          </w:tcPr>
          <w:p w14:paraId="13A2DC11"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90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E142BA" w14:textId="77777777" w:rsidR="0025397C" w:rsidRPr="00285A46" w:rsidRDefault="0025397C">
            <w:pPr>
              <w:spacing w:after="0"/>
              <w:rPr>
                <w:rFonts w:ascii="Times New Roman" w:hAnsi="Times New Roman" w:cs="Times New Roman"/>
                <w:sz w:val="20"/>
                <w:szCs w:val="20"/>
              </w:rPr>
            </w:pP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01C9CF83"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Предоставляются копии соглашений</w:t>
            </w:r>
          </w:p>
        </w:tc>
      </w:tr>
      <w:tr w:rsidR="0025397C" w:rsidRPr="00285A46" w14:paraId="567D0BEC" w14:textId="77777777" w:rsidTr="0025397C">
        <w:trPr>
          <w:trHeight w:val="254"/>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8230C52"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139C57B2"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6FDCFA17"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Наличие таких соглашений с 4 банками</w:t>
            </w:r>
          </w:p>
        </w:tc>
        <w:tc>
          <w:tcPr>
            <w:tcW w:w="851" w:type="dxa"/>
            <w:tcBorders>
              <w:top w:val="single" w:sz="4" w:space="0" w:color="auto"/>
              <w:left w:val="single" w:sz="4" w:space="0" w:color="auto"/>
              <w:bottom w:val="single" w:sz="4" w:space="0" w:color="auto"/>
              <w:right w:val="single" w:sz="4" w:space="0" w:color="auto"/>
            </w:tcBorders>
            <w:noWrap/>
            <w:hideMark/>
          </w:tcPr>
          <w:p w14:paraId="0B732790"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70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C185AB"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A31E077" w14:textId="77777777" w:rsidR="0025397C" w:rsidRPr="00285A46" w:rsidRDefault="0025397C">
            <w:pPr>
              <w:spacing w:after="0"/>
              <w:rPr>
                <w:rFonts w:ascii="Times New Roman" w:hAnsi="Times New Roman" w:cs="Times New Roman"/>
                <w:sz w:val="20"/>
                <w:szCs w:val="20"/>
              </w:rPr>
            </w:pPr>
          </w:p>
        </w:tc>
      </w:tr>
      <w:tr w:rsidR="0025397C" w:rsidRPr="00285A46" w14:paraId="128D0301"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163F3CA5"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13064C9A"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73B56E6F"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Наличие таких соглашений с 3 банками</w:t>
            </w:r>
          </w:p>
        </w:tc>
        <w:tc>
          <w:tcPr>
            <w:tcW w:w="851" w:type="dxa"/>
            <w:tcBorders>
              <w:top w:val="single" w:sz="4" w:space="0" w:color="auto"/>
              <w:left w:val="single" w:sz="4" w:space="0" w:color="auto"/>
              <w:bottom w:val="single" w:sz="4" w:space="0" w:color="auto"/>
              <w:right w:val="single" w:sz="4" w:space="0" w:color="auto"/>
            </w:tcBorders>
            <w:noWrap/>
            <w:hideMark/>
          </w:tcPr>
          <w:p w14:paraId="125A84E6"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5A926AD"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53D7A63" w14:textId="77777777" w:rsidR="0025397C" w:rsidRPr="00285A46" w:rsidRDefault="0025397C">
            <w:pPr>
              <w:spacing w:after="0"/>
              <w:rPr>
                <w:rFonts w:ascii="Times New Roman" w:hAnsi="Times New Roman" w:cs="Times New Roman"/>
                <w:sz w:val="20"/>
                <w:szCs w:val="20"/>
              </w:rPr>
            </w:pPr>
          </w:p>
        </w:tc>
      </w:tr>
      <w:tr w:rsidR="0025397C" w:rsidRPr="00285A46" w14:paraId="790AB412"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46B90B70"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43F8ABDE"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35E637DE"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Наличие таких соглашений с 2 банками</w:t>
            </w:r>
          </w:p>
        </w:tc>
        <w:tc>
          <w:tcPr>
            <w:tcW w:w="851" w:type="dxa"/>
            <w:tcBorders>
              <w:top w:val="single" w:sz="4" w:space="0" w:color="auto"/>
              <w:left w:val="single" w:sz="4" w:space="0" w:color="auto"/>
              <w:bottom w:val="single" w:sz="4" w:space="0" w:color="auto"/>
              <w:right w:val="single" w:sz="4" w:space="0" w:color="auto"/>
            </w:tcBorders>
            <w:noWrap/>
            <w:hideMark/>
          </w:tcPr>
          <w:p w14:paraId="5BFA1FC8"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30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A21738"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66197D5" w14:textId="77777777" w:rsidR="0025397C" w:rsidRPr="00285A46" w:rsidRDefault="0025397C">
            <w:pPr>
              <w:spacing w:after="0"/>
              <w:rPr>
                <w:rFonts w:ascii="Times New Roman" w:hAnsi="Times New Roman" w:cs="Times New Roman"/>
                <w:sz w:val="20"/>
                <w:szCs w:val="20"/>
              </w:rPr>
            </w:pPr>
          </w:p>
        </w:tc>
      </w:tr>
      <w:tr w:rsidR="0025397C" w:rsidRPr="00285A46" w14:paraId="381F6608"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AAB13BF"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0214DF3"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18B8024D"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Наличие такого соглашения с 1 банком</w:t>
            </w:r>
          </w:p>
        </w:tc>
        <w:tc>
          <w:tcPr>
            <w:tcW w:w="851" w:type="dxa"/>
            <w:tcBorders>
              <w:top w:val="single" w:sz="4" w:space="0" w:color="auto"/>
              <w:left w:val="single" w:sz="4" w:space="0" w:color="auto"/>
              <w:bottom w:val="single" w:sz="4" w:space="0" w:color="auto"/>
              <w:right w:val="single" w:sz="4" w:space="0" w:color="auto"/>
            </w:tcBorders>
            <w:noWrap/>
            <w:hideMark/>
          </w:tcPr>
          <w:p w14:paraId="663CFF17"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10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D1309A0"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E651D3C" w14:textId="77777777" w:rsidR="0025397C" w:rsidRPr="00285A46" w:rsidRDefault="0025397C">
            <w:pPr>
              <w:spacing w:after="0"/>
              <w:rPr>
                <w:rFonts w:ascii="Times New Roman" w:hAnsi="Times New Roman" w:cs="Times New Roman"/>
                <w:sz w:val="20"/>
                <w:szCs w:val="20"/>
              </w:rPr>
            </w:pPr>
          </w:p>
        </w:tc>
      </w:tr>
      <w:tr w:rsidR="0025397C" w:rsidRPr="00285A46" w14:paraId="2752CA66"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279A15A7"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5D3D6BDA"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185F6F47" w14:textId="77777777" w:rsidR="0025397C" w:rsidRPr="00285A46" w:rsidRDefault="0025397C">
            <w:pPr>
              <w:spacing w:after="0" w:line="240" w:lineRule="auto"/>
              <w:jc w:val="both"/>
              <w:rPr>
                <w:rFonts w:ascii="Times New Roman" w:hAnsi="Times New Roman" w:cs="Times New Roman"/>
                <w:color w:val="000000"/>
                <w:sz w:val="20"/>
                <w:szCs w:val="20"/>
              </w:rPr>
            </w:pPr>
            <w:r w:rsidRPr="00285A46">
              <w:rPr>
                <w:rFonts w:ascii="Times New Roman" w:hAnsi="Times New Roman" w:cs="Times New Roman"/>
                <w:sz w:val="20"/>
                <w:szCs w:val="20"/>
              </w:rPr>
              <w:t>В иных случаях</w:t>
            </w:r>
          </w:p>
        </w:tc>
        <w:tc>
          <w:tcPr>
            <w:tcW w:w="851" w:type="dxa"/>
            <w:tcBorders>
              <w:top w:val="single" w:sz="4" w:space="0" w:color="auto"/>
              <w:left w:val="single" w:sz="4" w:space="0" w:color="auto"/>
              <w:bottom w:val="single" w:sz="4" w:space="0" w:color="auto"/>
              <w:right w:val="single" w:sz="4" w:space="0" w:color="auto"/>
            </w:tcBorders>
            <w:noWrap/>
            <w:hideMark/>
          </w:tcPr>
          <w:p w14:paraId="203CAB8B" w14:textId="77777777" w:rsidR="0025397C" w:rsidRPr="00285A46" w:rsidRDefault="0025397C">
            <w:pPr>
              <w:spacing w:after="0"/>
              <w:jc w:val="center"/>
              <w:rPr>
                <w:rFonts w:ascii="Times New Roman" w:hAnsi="Times New Roman" w:cs="Times New Roman"/>
                <w:color w:val="000000"/>
                <w:sz w:val="20"/>
                <w:szCs w:val="20"/>
              </w:rPr>
            </w:pPr>
            <w:r w:rsidRPr="00285A46">
              <w:rPr>
                <w:rFonts w:ascii="Times New Roman" w:hAnsi="Times New Roman" w:cs="Times New Roman"/>
                <w:color w:val="000000"/>
                <w:sz w:val="20"/>
                <w:szCs w:val="20"/>
              </w:rPr>
              <w:t>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8DC88A"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24533631" w14:textId="77777777" w:rsidR="0025397C" w:rsidRPr="00285A46" w:rsidRDefault="0025397C">
            <w:pPr>
              <w:spacing w:after="0"/>
              <w:rPr>
                <w:rFonts w:ascii="Times New Roman" w:hAnsi="Times New Roman" w:cs="Times New Roman"/>
                <w:sz w:val="20"/>
                <w:szCs w:val="20"/>
              </w:rPr>
            </w:pPr>
          </w:p>
        </w:tc>
      </w:tr>
      <w:tr w:rsidR="0025397C" w:rsidRPr="00285A46" w14:paraId="047115C0" w14:textId="77777777" w:rsidTr="0025397C">
        <w:tc>
          <w:tcPr>
            <w:tcW w:w="562" w:type="dxa"/>
            <w:vMerge w:val="restart"/>
            <w:tcBorders>
              <w:top w:val="single" w:sz="4" w:space="0" w:color="auto"/>
              <w:left w:val="single" w:sz="4" w:space="0" w:color="auto"/>
              <w:bottom w:val="single" w:sz="4" w:space="0" w:color="auto"/>
              <w:right w:val="single" w:sz="4" w:space="0" w:color="auto"/>
            </w:tcBorders>
            <w:noWrap/>
            <w:hideMark/>
          </w:tcPr>
          <w:p w14:paraId="2E2B614E" w14:textId="77777777" w:rsidR="0025397C" w:rsidRPr="00285A46" w:rsidRDefault="0025397C">
            <w:pPr>
              <w:widowControl w:val="0"/>
              <w:tabs>
                <w:tab w:val="center" w:pos="4677"/>
                <w:tab w:val="right" w:pos="9355"/>
              </w:tab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3.</w:t>
            </w:r>
          </w:p>
        </w:tc>
        <w:tc>
          <w:tcPr>
            <w:tcW w:w="2104" w:type="dxa"/>
            <w:vMerge w:val="restart"/>
            <w:tcBorders>
              <w:top w:val="single" w:sz="4" w:space="0" w:color="auto"/>
              <w:left w:val="single" w:sz="4" w:space="0" w:color="auto"/>
              <w:bottom w:val="single" w:sz="4" w:space="0" w:color="auto"/>
              <w:right w:val="single" w:sz="4" w:space="0" w:color="auto"/>
            </w:tcBorders>
            <w:noWrap/>
            <w:hideMark/>
          </w:tcPr>
          <w:p w14:paraId="5140B44B"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b/>
                <w:sz w:val="20"/>
                <w:szCs w:val="20"/>
              </w:rPr>
              <w:t>Качество технического предложения участника закупки</w:t>
            </w: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3A517B9C"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62FFEBC2" w14:textId="77777777" w:rsidR="0025397C" w:rsidRPr="00285A46" w:rsidRDefault="0025397C">
            <w:pPr>
              <w:spacing w:after="0"/>
              <w:jc w:val="both"/>
              <w:rPr>
                <w:rFonts w:ascii="Times New Roman" w:hAnsi="Times New Roman" w:cs="Times New Roman"/>
                <w:color w:val="000000"/>
                <w:sz w:val="20"/>
                <w:szCs w:val="20"/>
              </w:rPr>
            </w:pPr>
            <w:r w:rsidRPr="00B5745C">
              <w:rPr>
                <w:rFonts w:ascii="Times New Roman" w:hAnsi="Times New Roman" w:cs="Times New Roman"/>
                <w:color w:val="000000"/>
                <w:sz w:val="20"/>
                <w:szCs w:val="20"/>
              </w:rPr>
              <w:t xml:space="preserve">1) </w:t>
            </w:r>
            <w:r w:rsidRPr="00285A46">
              <w:rPr>
                <w:rFonts w:ascii="Times New Roman" w:hAnsi="Times New Roman" w:cs="Times New Roman"/>
                <w:color w:val="000000"/>
                <w:sz w:val="20"/>
                <w:szCs w:val="20"/>
              </w:rPr>
              <w:t>с</w:t>
            </w:r>
            <w:r w:rsidRPr="00B5745C">
              <w:rPr>
                <w:rFonts w:ascii="Times New Roman" w:hAnsi="Times New Roman" w:cs="Times New Roman"/>
                <w:color w:val="000000"/>
                <w:sz w:val="20"/>
                <w:szCs w:val="20"/>
              </w:rPr>
              <w:t>умма процентных расходов на привлечение финансирования лизингодателя</w:t>
            </w:r>
            <w:r w:rsidRPr="00285A46">
              <w:rPr>
                <w:rFonts w:ascii="Times New Roman" w:hAnsi="Times New Roman" w:cs="Times New Roman"/>
                <w:color w:val="000000"/>
                <w:sz w:val="20"/>
                <w:szCs w:val="20"/>
              </w:rPr>
              <w:t>;</w:t>
            </w:r>
          </w:p>
          <w:p w14:paraId="0F045463" w14:textId="77777777" w:rsidR="0025397C" w:rsidRPr="00285A46" w:rsidRDefault="0025397C">
            <w:pPr>
              <w:spacing w:after="0"/>
              <w:jc w:val="both"/>
              <w:rPr>
                <w:rFonts w:ascii="Times New Roman" w:hAnsi="Times New Roman" w:cs="Times New Roman"/>
                <w:color w:val="000000"/>
                <w:sz w:val="20"/>
                <w:szCs w:val="20"/>
              </w:rPr>
            </w:pPr>
            <w:r w:rsidRPr="00B5745C">
              <w:rPr>
                <w:rFonts w:ascii="Times New Roman" w:hAnsi="Times New Roman" w:cs="Times New Roman"/>
                <w:color w:val="000000"/>
                <w:sz w:val="20"/>
                <w:szCs w:val="20"/>
              </w:rPr>
              <w:t xml:space="preserve">2) </w:t>
            </w:r>
            <w:r w:rsidRPr="00285A46">
              <w:rPr>
                <w:rFonts w:ascii="Times New Roman" w:hAnsi="Times New Roman" w:cs="Times New Roman"/>
                <w:color w:val="000000"/>
                <w:sz w:val="20"/>
                <w:szCs w:val="20"/>
              </w:rPr>
              <w:t>в</w:t>
            </w:r>
            <w:r w:rsidRPr="00B5745C">
              <w:rPr>
                <w:rFonts w:ascii="Times New Roman" w:hAnsi="Times New Roman" w:cs="Times New Roman"/>
                <w:color w:val="000000"/>
                <w:sz w:val="20"/>
                <w:szCs w:val="20"/>
              </w:rPr>
              <w:t>ознаграждение лизингодателя</w:t>
            </w:r>
            <w:r w:rsidRPr="00285A46">
              <w:rPr>
                <w:rFonts w:ascii="Times New Roman" w:hAnsi="Times New Roman" w:cs="Times New Roman"/>
                <w:color w:val="000000"/>
                <w:sz w:val="20"/>
                <w:szCs w:val="20"/>
              </w:rPr>
              <w:t>;</w:t>
            </w:r>
          </w:p>
          <w:p w14:paraId="34260473" w14:textId="77777777" w:rsidR="0025397C" w:rsidRPr="00285A46" w:rsidRDefault="0025397C">
            <w:pPr>
              <w:spacing w:after="0"/>
              <w:jc w:val="both"/>
              <w:rPr>
                <w:rFonts w:ascii="Times New Roman" w:hAnsi="Times New Roman" w:cs="Times New Roman"/>
                <w:color w:val="000000"/>
                <w:sz w:val="20"/>
                <w:szCs w:val="20"/>
              </w:rPr>
            </w:pPr>
            <w:r w:rsidRPr="00B5745C">
              <w:rPr>
                <w:rFonts w:ascii="Times New Roman" w:hAnsi="Times New Roman" w:cs="Times New Roman"/>
                <w:color w:val="000000"/>
                <w:sz w:val="20"/>
                <w:szCs w:val="20"/>
              </w:rPr>
              <w:t xml:space="preserve">3) </w:t>
            </w:r>
            <w:r w:rsidRPr="00285A46">
              <w:rPr>
                <w:rFonts w:ascii="Times New Roman" w:hAnsi="Times New Roman" w:cs="Times New Roman"/>
                <w:color w:val="000000"/>
                <w:sz w:val="20"/>
                <w:szCs w:val="20"/>
              </w:rPr>
              <w:t>с</w:t>
            </w:r>
            <w:r w:rsidRPr="00B5745C">
              <w:rPr>
                <w:rFonts w:ascii="Times New Roman" w:hAnsi="Times New Roman" w:cs="Times New Roman"/>
                <w:color w:val="000000"/>
                <w:sz w:val="20"/>
                <w:szCs w:val="20"/>
              </w:rPr>
              <w:t>умма возмещаемых налогов (в т.ч. НДС)</w:t>
            </w:r>
            <w:r w:rsidRPr="00285A46">
              <w:rPr>
                <w:rFonts w:ascii="Times New Roman" w:hAnsi="Times New Roman" w:cs="Times New Roman"/>
                <w:color w:val="000000"/>
                <w:sz w:val="20"/>
                <w:szCs w:val="20"/>
              </w:rPr>
              <w:t>;</w:t>
            </w:r>
          </w:p>
          <w:p w14:paraId="3185893E" w14:textId="77777777" w:rsidR="0025397C" w:rsidRPr="00285A46" w:rsidRDefault="0025397C">
            <w:pPr>
              <w:spacing w:after="0"/>
              <w:jc w:val="both"/>
              <w:rPr>
                <w:rFonts w:ascii="Times New Roman" w:hAnsi="Times New Roman" w:cs="Times New Roman"/>
                <w:color w:val="000000"/>
                <w:sz w:val="20"/>
                <w:szCs w:val="20"/>
              </w:rPr>
            </w:pPr>
            <w:r w:rsidRPr="00B5745C">
              <w:rPr>
                <w:rFonts w:ascii="Times New Roman" w:hAnsi="Times New Roman" w:cs="Times New Roman"/>
                <w:color w:val="000000"/>
                <w:sz w:val="20"/>
                <w:szCs w:val="20"/>
              </w:rPr>
              <w:t xml:space="preserve">4) </w:t>
            </w:r>
            <w:r w:rsidRPr="00285A46">
              <w:rPr>
                <w:rFonts w:ascii="Times New Roman" w:hAnsi="Times New Roman" w:cs="Times New Roman"/>
                <w:color w:val="000000"/>
                <w:sz w:val="20"/>
                <w:szCs w:val="20"/>
              </w:rPr>
              <w:t>с</w:t>
            </w:r>
            <w:r w:rsidRPr="00B5745C">
              <w:rPr>
                <w:rFonts w:ascii="Times New Roman" w:hAnsi="Times New Roman" w:cs="Times New Roman"/>
                <w:color w:val="000000"/>
                <w:sz w:val="20"/>
                <w:szCs w:val="20"/>
              </w:rPr>
              <w:t>умма невозмещаемых налогов (в т.ч. налог на имущество, транспортный налог и т.д.)</w:t>
            </w:r>
            <w:r w:rsidRPr="00285A46">
              <w:rPr>
                <w:rFonts w:ascii="Times New Roman" w:hAnsi="Times New Roman" w:cs="Times New Roman"/>
                <w:color w:val="000000"/>
                <w:sz w:val="20"/>
                <w:szCs w:val="20"/>
              </w:rPr>
              <w:t>;</w:t>
            </w:r>
          </w:p>
          <w:p w14:paraId="6AEEE4B7" w14:textId="77777777" w:rsidR="0025397C" w:rsidRPr="00285A46" w:rsidRDefault="0025397C">
            <w:pPr>
              <w:spacing w:after="0"/>
              <w:jc w:val="both"/>
              <w:rPr>
                <w:rFonts w:ascii="Times New Roman" w:hAnsi="Times New Roman" w:cs="Times New Roman"/>
                <w:color w:val="000000"/>
                <w:sz w:val="20"/>
                <w:szCs w:val="20"/>
              </w:rPr>
            </w:pPr>
            <w:r w:rsidRPr="00B5745C">
              <w:rPr>
                <w:rFonts w:ascii="Times New Roman" w:hAnsi="Times New Roman" w:cs="Times New Roman"/>
                <w:color w:val="000000"/>
                <w:sz w:val="20"/>
                <w:szCs w:val="20"/>
              </w:rPr>
              <w:t>5)</w:t>
            </w:r>
            <w:r w:rsidRPr="00285A46">
              <w:rPr>
                <w:rFonts w:ascii="Times New Roman" w:hAnsi="Times New Roman" w:cs="Times New Roman"/>
                <w:color w:val="000000"/>
                <w:sz w:val="20"/>
                <w:szCs w:val="20"/>
              </w:rPr>
              <w:t xml:space="preserve"> сумма страховой премии</w:t>
            </w:r>
            <w:r w:rsidRPr="00285A46">
              <w:rPr>
                <w:rStyle w:val="af0"/>
                <w:color w:val="000000"/>
                <w:sz w:val="20"/>
                <w:szCs w:val="20"/>
              </w:rPr>
              <w:footnoteReference w:id="4"/>
            </w:r>
          </w:p>
        </w:tc>
        <w:tc>
          <w:tcPr>
            <w:tcW w:w="851" w:type="dxa"/>
            <w:tcBorders>
              <w:top w:val="single" w:sz="4" w:space="0" w:color="auto"/>
              <w:left w:val="single" w:sz="4" w:space="0" w:color="auto"/>
              <w:bottom w:val="single" w:sz="4" w:space="0" w:color="auto"/>
              <w:right w:val="single" w:sz="4" w:space="0" w:color="auto"/>
            </w:tcBorders>
            <w:noWrap/>
            <w:hideMark/>
          </w:tcPr>
          <w:p w14:paraId="69C92E79"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100, при этом:</w:t>
            </w:r>
          </w:p>
        </w:tc>
        <w:tc>
          <w:tcPr>
            <w:tcW w:w="1275" w:type="dxa"/>
            <w:vMerge w:val="restart"/>
            <w:tcBorders>
              <w:top w:val="single" w:sz="4" w:space="0" w:color="auto"/>
              <w:left w:val="single" w:sz="4" w:space="0" w:color="auto"/>
              <w:bottom w:val="single" w:sz="4" w:space="0" w:color="auto"/>
              <w:right w:val="single" w:sz="4" w:space="0" w:color="auto"/>
            </w:tcBorders>
            <w:noWrap/>
            <w:hideMark/>
          </w:tcPr>
          <w:p w14:paraId="6608CAAC" w14:textId="77777777" w:rsidR="0025397C" w:rsidRPr="00285A46" w:rsidRDefault="0025397C">
            <w:pPr>
              <w:keepNext/>
              <w:keepLines/>
              <w:widowControl w:val="0"/>
              <w:tabs>
                <w:tab w:val="center" w:pos="4677"/>
                <w:tab w:val="right" w:pos="9355"/>
              </w:tabs>
              <w:suppressAutoHyphens/>
              <w:spacing w:after="0" w:line="240" w:lineRule="auto"/>
              <w:jc w:val="center"/>
              <w:outlineLvl w:val="1"/>
              <w:rPr>
                <w:rFonts w:ascii="Times New Roman" w:hAnsi="Times New Roman" w:cs="Times New Roman"/>
                <w:sz w:val="20"/>
                <w:szCs w:val="20"/>
              </w:rPr>
            </w:pPr>
            <w:r w:rsidRPr="00285A46">
              <w:rPr>
                <w:rFonts w:ascii="Times New Roman" w:hAnsi="Times New Roman" w:cs="Times New Roman"/>
                <w:sz w:val="20"/>
                <w:szCs w:val="20"/>
              </w:rPr>
              <w:t>0,2 (20%)</w:t>
            </w:r>
          </w:p>
        </w:tc>
        <w:tc>
          <w:tcPr>
            <w:tcW w:w="2437" w:type="dxa"/>
            <w:vMerge w:val="restart"/>
            <w:tcBorders>
              <w:top w:val="single" w:sz="4" w:space="0" w:color="auto"/>
              <w:left w:val="single" w:sz="4" w:space="0" w:color="auto"/>
              <w:bottom w:val="single" w:sz="4" w:space="0" w:color="auto"/>
              <w:right w:val="single" w:sz="4" w:space="0" w:color="auto"/>
            </w:tcBorders>
            <w:noWrap/>
            <w:hideMark/>
          </w:tcPr>
          <w:p w14:paraId="7A5405D7"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rPr>
              <w:t>Сведения предоставляются в составе заявки на участие в закупке</w:t>
            </w:r>
          </w:p>
        </w:tc>
      </w:tr>
      <w:tr w:rsidR="0025397C" w:rsidRPr="00285A46" w14:paraId="0770224E"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015C17FB"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4510B89F"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D878DB2"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Предоставлена развернутая структура состава затрат, формирующих график лизинговых платежей, по всем составляющим</w:t>
            </w:r>
          </w:p>
        </w:tc>
        <w:tc>
          <w:tcPr>
            <w:tcW w:w="851" w:type="dxa"/>
            <w:tcBorders>
              <w:top w:val="single" w:sz="4" w:space="0" w:color="auto"/>
              <w:left w:val="single" w:sz="4" w:space="0" w:color="auto"/>
              <w:bottom w:val="single" w:sz="4" w:space="0" w:color="auto"/>
              <w:right w:val="single" w:sz="4" w:space="0" w:color="auto"/>
            </w:tcBorders>
            <w:noWrap/>
            <w:hideMark/>
          </w:tcPr>
          <w:p w14:paraId="4453B41D"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100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A319D3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3C6846C7" w14:textId="77777777" w:rsidR="0025397C" w:rsidRPr="00285A46" w:rsidRDefault="0025397C">
            <w:pPr>
              <w:spacing w:after="0"/>
              <w:rPr>
                <w:rFonts w:ascii="Times New Roman" w:hAnsi="Times New Roman" w:cs="Times New Roman"/>
                <w:sz w:val="20"/>
                <w:szCs w:val="20"/>
              </w:rPr>
            </w:pPr>
          </w:p>
        </w:tc>
      </w:tr>
      <w:tr w:rsidR="0025397C" w:rsidRPr="00285A46" w14:paraId="14211F8E"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73E0ADED"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D7D41A8"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194C7485"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Предоставлена развернутая структура состава затрат, формирующих график лизинговых платежей, по 4 составляющим из 5</w:t>
            </w:r>
          </w:p>
        </w:tc>
        <w:tc>
          <w:tcPr>
            <w:tcW w:w="851" w:type="dxa"/>
            <w:tcBorders>
              <w:top w:val="single" w:sz="4" w:space="0" w:color="auto"/>
              <w:left w:val="single" w:sz="4" w:space="0" w:color="auto"/>
              <w:bottom w:val="single" w:sz="4" w:space="0" w:color="auto"/>
              <w:right w:val="single" w:sz="4" w:space="0" w:color="auto"/>
            </w:tcBorders>
            <w:noWrap/>
            <w:hideMark/>
          </w:tcPr>
          <w:p w14:paraId="251EC56B" w14:textId="77777777" w:rsidR="0025397C" w:rsidRPr="00285A46" w:rsidRDefault="0025397C">
            <w:pPr>
              <w:jc w:val="center"/>
              <w:rPr>
                <w:rFonts w:ascii="Times New Roman" w:hAnsi="Times New Roman" w:cs="Times New Roman"/>
                <w:color w:val="000000"/>
                <w:sz w:val="20"/>
                <w:szCs w:val="20"/>
              </w:rPr>
            </w:pPr>
            <w:r w:rsidRPr="00285A46">
              <w:rPr>
                <w:rFonts w:ascii="Times New Roman" w:hAnsi="Times New Roman" w:cs="Times New Roman"/>
                <w:sz w:val="20"/>
                <w:szCs w:val="20"/>
              </w:rPr>
              <w:t>75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886F11"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519A6CF" w14:textId="77777777" w:rsidR="0025397C" w:rsidRPr="00285A46" w:rsidRDefault="0025397C">
            <w:pPr>
              <w:spacing w:after="0"/>
              <w:rPr>
                <w:rFonts w:ascii="Times New Roman" w:hAnsi="Times New Roman" w:cs="Times New Roman"/>
                <w:sz w:val="20"/>
                <w:szCs w:val="20"/>
              </w:rPr>
            </w:pPr>
          </w:p>
        </w:tc>
      </w:tr>
      <w:tr w:rsidR="0025397C" w:rsidRPr="00285A46" w14:paraId="03CFC8F6"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55C44195"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6514D767"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6B98884C"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Предоставлена развернутая структура состава затрат, формирующих график лизинговых платежей, по 3 составляющим из 5</w:t>
            </w:r>
          </w:p>
        </w:tc>
        <w:tc>
          <w:tcPr>
            <w:tcW w:w="851" w:type="dxa"/>
            <w:tcBorders>
              <w:top w:val="single" w:sz="4" w:space="0" w:color="auto"/>
              <w:left w:val="single" w:sz="4" w:space="0" w:color="auto"/>
              <w:bottom w:val="single" w:sz="4" w:space="0" w:color="auto"/>
              <w:right w:val="single" w:sz="4" w:space="0" w:color="auto"/>
            </w:tcBorders>
            <w:noWrap/>
            <w:hideMark/>
          </w:tcPr>
          <w:p w14:paraId="55B1AB71" w14:textId="77777777" w:rsidR="0025397C" w:rsidRPr="00285A46" w:rsidRDefault="0025397C">
            <w:pPr>
              <w:jc w:val="center"/>
              <w:rPr>
                <w:rFonts w:ascii="Times New Roman" w:hAnsi="Times New Roman" w:cs="Times New Roman"/>
                <w:sz w:val="20"/>
                <w:szCs w:val="20"/>
              </w:rPr>
            </w:pPr>
            <w:r w:rsidRPr="00285A46">
              <w:rPr>
                <w:rFonts w:ascii="Times New Roman" w:hAnsi="Times New Roman" w:cs="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0AF42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6B46524A" w14:textId="77777777" w:rsidR="0025397C" w:rsidRPr="00285A46" w:rsidRDefault="0025397C">
            <w:pPr>
              <w:spacing w:after="0"/>
              <w:rPr>
                <w:rFonts w:ascii="Times New Roman" w:hAnsi="Times New Roman" w:cs="Times New Roman"/>
                <w:sz w:val="20"/>
                <w:szCs w:val="20"/>
              </w:rPr>
            </w:pPr>
          </w:p>
        </w:tc>
      </w:tr>
      <w:tr w:rsidR="0025397C" w:rsidRPr="00285A46" w14:paraId="761CFD53" w14:textId="77777777" w:rsidTr="0025397C">
        <w:tc>
          <w:tcPr>
            <w:tcW w:w="562" w:type="dxa"/>
            <w:vMerge/>
            <w:tcBorders>
              <w:top w:val="single" w:sz="4" w:space="0" w:color="auto"/>
              <w:left w:val="single" w:sz="4" w:space="0" w:color="auto"/>
              <w:bottom w:val="single" w:sz="4" w:space="0" w:color="auto"/>
              <w:right w:val="single" w:sz="4" w:space="0" w:color="auto"/>
            </w:tcBorders>
            <w:vAlign w:val="center"/>
            <w:hideMark/>
          </w:tcPr>
          <w:p w14:paraId="555D4462"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76153439"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vAlign w:val="center"/>
            <w:hideMark/>
          </w:tcPr>
          <w:p w14:paraId="268159A2"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Предоставлена развернутая структура состава затрат, формирующих график лизинговых платежей, по 2 составляющим из 5</w:t>
            </w:r>
          </w:p>
        </w:tc>
        <w:tc>
          <w:tcPr>
            <w:tcW w:w="851" w:type="dxa"/>
            <w:tcBorders>
              <w:top w:val="single" w:sz="4" w:space="0" w:color="auto"/>
              <w:left w:val="single" w:sz="4" w:space="0" w:color="auto"/>
              <w:bottom w:val="single" w:sz="4" w:space="0" w:color="auto"/>
              <w:right w:val="single" w:sz="4" w:space="0" w:color="auto"/>
            </w:tcBorders>
            <w:noWrap/>
            <w:hideMark/>
          </w:tcPr>
          <w:p w14:paraId="4B58571F" w14:textId="77777777" w:rsidR="0025397C" w:rsidRPr="00285A46" w:rsidRDefault="0025397C">
            <w:pPr>
              <w:jc w:val="center"/>
              <w:rPr>
                <w:rFonts w:ascii="Times New Roman" w:hAnsi="Times New Roman" w:cs="Times New Roman"/>
                <w:sz w:val="20"/>
                <w:szCs w:val="20"/>
              </w:rPr>
            </w:pPr>
            <w:r w:rsidRPr="00285A46">
              <w:rPr>
                <w:rFonts w:ascii="Times New Roman" w:hAnsi="Times New Roman" w:cs="Times New Roman"/>
                <w:sz w:val="20"/>
                <w:szCs w:val="20"/>
              </w:rPr>
              <w:t>25</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7130DBE"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5102DE75" w14:textId="77777777" w:rsidR="0025397C" w:rsidRPr="00285A46" w:rsidRDefault="0025397C">
            <w:pPr>
              <w:spacing w:after="0"/>
              <w:rPr>
                <w:rFonts w:ascii="Times New Roman" w:hAnsi="Times New Roman" w:cs="Times New Roman"/>
                <w:sz w:val="20"/>
                <w:szCs w:val="20"/>
              </w:rPr>
            </w:pPr>
          </w:p>
        </w:tc>
      </w:tr>
      <w:tr w:rsidR="0025397C" w:rsidRPr="00285A46" w14:paraId="609165B9" w14:textId="77777777" w:rsidTr="0025397C">
        <w:trPr>
          <w:trHeight w:val="1397"/>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12F5CA7" w14:textId="77777777" w:rsidR="0025397C" w:rsidRPr="00285A46" w:rsidRDefault="0025397C">
            <w:pPr>
              <w:spacing w:after="0"/>
              <w:rPr>
                <w:rFonts w:ascii="Times New Roman" w:hAnsi="Times New Roman" w:cs="Times New Roman"/>
                <w:sz w:val="20"/>
                <w:szCs w:val="20"/>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2102441E" w14:textId="77777777" w:rsidR="0025397C" w:rsidRPr="00285A46" w:rsidRDefault="0025397C">
            <w:pPr>
              <w:spacing w:after="0"/>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noWrap/>
            <w:hideMark/>
          </w:tcPr>
          <w:p w14:paraId="6EFBF761" w14:textId="77777777" w:rsidR="0025397C" w:rsidRPr="00285A46" w:rsidRDefault="0025397C">
            <w:pPr>
              <w:spacing w:after="0"/>
              <w:jc w:val="both"/>
              <w:rPr>
                <w:rFonts w:ascii="Times New Roman" w:hAnsi="Times New Roman" w:cs="Times New Roman"/>
                <w:color w:val="000000"/>
                <w:sz w:val="20"/>
                <w:szCs w:val="20"/>
              </w:rPr>
            </w:pPr>
            <w:r w:rsidRPr="00285A46">
              <w:rPr>
                <w:rFonts w:ascii="Times New Roman" w:hAnsi="Times New Roman" w:cs="Times New Roman"/>
                <w:color w:val="000000"/>
                <w:sz w:val="20"/>
                <w:szCs w:val="20"/>
              </w:rPr>
              <w:t>Предоставлена структура состава затрат, формирующих график лизинговых платежей, по одной составляющей или не предоставлена</w:t>
            </w:r>
          </w:p>
        </w:tc>
        <w:tc>
          <w:tcPr>
            <w:tcW w:w="851" w:type="dxa"/>
            <w:tcBorders>
              <w:top w:val="single" w:sz="4" w:space="0" w:color="auto"/>
              <w:left w:val="single" w:sz="4" w:space="0" w:color="auto"/>
              <w:bottom w:val="single" w:sz="4" w:space="0" w:color="auto"/>
              <w:right w:val="single" w:sz="4" w:space="0" w:color="auto"/>
            </w:tcBorders>
            <w:noWrap/>
            <w:hideMark/>
          </w:tcPr>
          <w:p w14:paraId="534E4530" w14:textId="77777777" w:rsidR="0025397C" w:rsidRPr="00285A46" w:rsidRDefault="0025397C">
            <w:pPr>
              <w:jc w:val="center"/>
              <w:rPr>
                <w:rFonts w:ascii="Times New Roman" w:hAnsi="Times New Roman" w:cs="Times New Roman"/>
                <w:sz w:val="20"/>
                <w:szCs w:val="20"/>
              </w:rPr>
            </w:pPr>
            <w:r w:rsidRPr="00285A46">
              <w:rPr>
                <w:rFonts w:ascii="Times New Roman" w:hAnsi="Times New Roman" w:cs="Times New Roman"/>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C13380" w14:textId="77777777" w:rsidR="0025397C" w:rsidRPr="00285A46" w:rsidRDefault="0025397C">
            <w:pPr>
              <w:spacing w:after="0"/>
              <w:rPr>
                <w:rFonts w:ascii="Times New Roman" w:hAnsi="Times New Roman" w:cs="Times New Roman"/>
                <w:sz w:val="20"/>
                <w:szCs w:val="20"/>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1AE1B960" w14:textId="77777777" w:rsidR="0025397C" w:rsidRPr="00285A46" w:rsidRDefault="0025397C">
            <w:pPr>
              <w:spacing w:after="0"/>
              <w:rPr>
                <w:rFonts w:ascii="Times New Roman" w:hAnsi="Times New Roman" w:cs="Times New Roman"/>
                <w:sz w:val="20"/>
                <w:szCs w:val="20"/>
              </w:rPr>
            </w:pPr>
          </w:p>
        </w:tc>
      </w:tr>
      <w:tr w:rsidR="0025397C" w:rsidRPr="00285A46" w14:paraId="5CCC02E9" w14:textId="77777777" w:rsidTr="0025397C">
        <w:trPr>
          <w:trHeight w:val="1119"/>
        </w:trPr>
        <w:tc>
          <w:tcPr>
            <w:tcW w:w="10348" w:type="dxa"/>
            <w:gridSpan w:val="6"/>
            <w:tcBorders>
              <w:top w:val="single" w:sz="4" w:space="0" w:color="auto"/>
              <w:left w:val="single" w:sz="4" w:space="0" w:color="auto"/>
              <w:bottom w:val="single" w:sz="4" w:space="0" w:color="auto"/>
              <w:right w:val="single" w:sz="4" w:space="0" w:color="auto"/>
            </w:tcBorders>
            <w:noWrap/>
            <w:hideMark/>
          </w:tcPr>
          <w:p w14:paraId="44F85FD8" w14:textId="77777777" w:rsidR="0025397C" w:rsidRPr="00285A46" w:rsidRDefault="0025397C">
            <w:pPr>
              <w:widowControl w:val="0"/>
              <w:spacing w:after="0" w:line="240" w:lineRule="auto"/>
              <w:ind w:firstLine="461"/>
              <w:jc w:val="both"/>
              <w:rPr>
                <w:rFonts w:ascii="Times New Roman" w:hAnsi="Times New Roman" w:cs="Times New Roman"/>
                <w:sz w:val="20"/>
                <w:szCs w:val="20"/>
              </w:rPr>
            </w:pPr>
            <w:r w:rsidRPr="00285A46">
              <w:rPr>
                <w:rFonts w:ascii="Times New Roman" w:hAnsi="Times New Roman" w:cs="Times New Roman"/>
                <w:sz w:val="20"/>
                <w:szCs w:val="20"/>
              </w:rPr>
              <w:t>Оценка и сопоставление заявок по критериям «Квалификация участника закупки</w:t>
            </w:r>
            <w:r w:rsidRPr="00285A46">
              <w:rPr>
                <w:rFonts w:ascii="Times New Roman" w:hAnsi="Times New Roman" w:cs="Times New Roman"/>
                <w:b/>
                <w:sz w:val="20"/>
                <w:szCs w:val="20"/>
              </w:rPr>
              <w:t>»</w:t>
            </w:r>
            <w:r w:rsidRPr="00285A46">
              <w:rPr>
                <w:rFonts w:ascii="Times New Roman" w:hAnsi="Times New Roman" w:cs="Times New Roman"/>
                <w:sz w:val="20"/>
                <w:szCs w:val="2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781C20E" w14:textId="77777777" w:rsidR="0025397C" w:rsidRPr="00285A46" w:rsidRDefault="0025397C">
            <w:pPr>
              <w:widowControl w:val="0"/>
              <w:spacing w:after="0" w:line="240" w:lineRule="auto"/>
              <w:ind w:firstLine="461"/>
              <w:jc w:val="both"/>
              <w:rPr>
                <w:rFonts w:ascii="Times New Roman" w:hAnsi="Times New Roman" w:cs="Times New Roman"/>
                <w:sz w:val="20"/>
                <w:szCs w:val="20"/>
              </w:rPr>
            </w:pPr>
            <w:r w:rsidRPr="00285A46">
              <w:rPr>
                <w:rFonts w:ascii="Times New Roman" w:hAnsi="Times New Roman" w:cs="Times New Roman"/>
                <w:sz w:val="20"/>
                <w:szCs w:val="2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17FE4BBC" w14:textId="77777777" w:rsidR="0025397C" w:rsidRPr="00285A46" w:rsidRDefault="0025397C">
            <w:pPr>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285A46">
              <w:rPr>
                <w:rFonts w:ascii="Times New Roman" w:hAnsi="Times New Roman" w:cs="Times New Roman"/>
                <w:sz w:val="20"/>
                <w:szCs w:val="20"/>
                <w:lang w:eastAsia="ru-RU"/>
              </w:rPr>
              <w:t>подкритерия</w:t>
            </w:r>
            <w:r w:rsidRPr="00285A46">
              <w:rPr>
                <w:rFonts w:ascii="Times New Roman" w:hAnsi="Times New Roman" w:cs="Times New Roman"/>
                <w:sz w:val="20"/>
                <w:szCs w:val="20"/>
              </w:rPr>
              <w:t>.</w:t>
            </w:r>
          </w:p>
          <w:p w14:paraId="11AC2B10" w14:textId="77777777" w:rsidR="0025397C" w:rsidRPr="00285A46" w:rsidRDefault="0025397C">
            <w:pPr>
              <w:widowControl w:val="0"/>
              <w:tabs>
                <w:tab w:val="left" w:pos="461"/>
              </w:tabs>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14FCCE65" w14:textId="77777777" w:rsidR="0025397C" w:rsidRPr="00285A46" w:rsidRDefault="0025397C">
            <w:pPr>
              <w:widowControl w:val="0"/>
              <w:tabs>
                <w:tab w:val="left" w:pos="461"/>
              </w:tabs>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Расчет итогового рейтинга заявки осуществляется в следующем порядке:</w:t>
            </w:r>
          </w:p>
          <w:p w14:paraId="4186BA67" w14:textId="77777777" w:rsidR="0025397C" w:rsidRPr="00285A46" w:rsidRDefault="0025397C">
            <w:pPr>
              <w:widowControl w:val="0"/>
              <w:tabs>
                <w:tab w:val="left" w:pos="461"/>
              </w:tabs>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Итоговый рейтинг заявки = (РЗК</w:t>
            </w:r>
            <w:r w:rsidRPr="00285A46">
              <w:rPr>
                <w:rFonts w:ascii="Times New Roman" w:hAnsi="Times New Roman" w:cs="Times New Roman"/>
                <w:sz w:val="20"/>
                <w:szCs w:val="20"/>
                <w:vertAlign w:val="subscript"/>
              </w:rPr>
              <w:t>ЦД</w:t>
            </w:r>
            <w:r w:rsidRPr="00285A46">
              <w:rPr>
                <w:rFonts w:ascii="Times New Roman" w:hAnsi="Times New Roman" w:cs="Times New Roman"/>
                <w:sz w:val="20"/>
                <w:szCs w:val="20"/>
              </w:rPr>
              <w:t xml:space="preserve"> + РЗК</w:t>
            </w:r>
            <w:r w:rsidRPr="00285A46">
              <w:rPr>
                <w:rFonts w:ascii="Times New Roman" w:hAnsi="Times New Roman" w:cs="Times New Roman"/>
                <w:sz w:val="20"/>
                <w:szCs w:val="20"/>
                <w:vertAlign w:val="subscript"/>
              </w:rPr>
              <w:t>К</w:t>
            </w:r>
            <w:r w:rsidRPr="00285A46">
              <w:rPr>
                <w:rFonts w:ascii="Times New Roman" w:hAnsi="Times New Roman" w:cs="Times New Roman"/>
                <w:sz w:val="20"/>
                <w:szCs w:val="20"/>
              </w:rPr>
              <w:t xml:space="preserve">+ </w:t>
            </w:r>
            <w:r w:rsidRPr="00285A46">
              <w:rPr>
                <w:rFonts w:ascii="Times New Roman" w:hAnsi="Times New Roman" w:cs="Times New Roman"/>
                <w:sz w:val="20"/>
                <w:szCs w:val="20"/>
                <w:lang w:eastAsia="ru-RU"/>
              </w:rPr>
              <w:t>РЗ</w:t>
            </w:r>
            <w:r w:rsidRPr="00285A46">
              <w:rPr>
                <w:rFonts w:ascii="Times New Roman" w:hAnsi="Times New Roman" w:cs="Times New Roman"/>
                <w:sz w:val="20"/>
                <w:szCs w:val="20"/>
                <w:vertAlign w:val="subscript"/>
                <w:lang w:eastAsia="ru-RU"/>
              </w:rPr>
              <w:t>Ктех</w:t>
            </w:r>
            <w:r w:rsidRPr="00285A46">
              <w:rPr>
                <w:rFonts w:ascii="Times New Roman" w:hAnsi="Times New Roman" w:cs="Times New Roman"/>
                <w:sz w:val="20"/>
                <w:szCs w:val="20"/>
              </w:rPr>
              <w:t>), где:</w:t>
            </w:r>
          </w:p>
          <w:p w14:paraId="68A9E6B8" w14:textId="77777777" w:rsidR="0025397C" w:rsidRPr="00285A46" w:rsidRDefault="0025397C">
            <w:pPr>
              <w:widowControl w:val="0"/>
              <w:tabs>
                <w:tab w:val="left" w:pos="461"/>
              </w:tabs>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РЗК</w:t>
            </w:r>
            <w:r w:rsidRPr="00285A46">
              <w:rPr>
                <w:rFonts w:ascii="Times New Roman" w:hAnsi="Times New Roman" w:cs="Times New Roman"/>
                <w:sz w:val="20"/>
                <w:szCs w:val="20"/>
                <w:vertAlign w:val="subscript"/>
              </w:rPr>
              <w:t>ЦД</w:t>
            </w:r>
            <w:r w:rsidRPr="00285A46">
              <w:rPr>
                <w:rFonts w:ascii="Times New Roman" w:hAnsi="Times New Roman" w:cs="Times New Roman"/>
                <w:sz w:val="20"/>
                <w:szCs w:val="2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590510DC" w14:textId="77777777" w:rsidR="0025397C" w:rsidRPr="00285A46" w:rsidRDefault="0025397C">
            <w:pPr>
              <w:spacing w:after="0"/>
              <w:ind w:firstLine="461"/>
              <w:jc w:val="both"/>
              <w:rPr>
                <w:rFonts w:ascii="Times New Roman" w:hAnsi="Times New Roman" w:cs="Times New Roman"/>
                <w:sz w:val="20"/>
                <w:szCs w:val="20"/>
              </w:rPr>
            </w:pPr>
            <w:r w:rsidRPr="00285A46">
              <w:rPr>
                <w:rFonts w:ascii="Times New Roman" w:hAnsi="Times New Roman" w:cs="Times New Roman"/>
                <w:sz w:val="20"/>
                <w:szCs w:val="20"/>
              </w:rPr>
              <w:t>РЗК</w:t>
            </w:r>
            <w:r w:rsidRPr="00285A46">
              <w:rPr>
                <w:rFonts w:ascii="Times New Roman" w:hAnsi="Times New Roman" w:cs="Times New Roman"/>
                <w:sz w:val="20"/>
                <w:szCs w:val="20"/>
                <w:vertAlign w:val="subscript"/>
              </w:rPr>
              <w:t>К</w:t>
            </w:r>
            <w:r w:rsidRPr="00285A46">
              <w:rPr>
                <w:rFonts w:ascii="Times New Roman" w:hAnsi="Times New Roman" w:cs="Times New Roman"/>
                <w:sz w:val="20"/>
                <w:szCs w:val="2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3264B6F7" w14:textId="77777777" w:rsidR="0025397C" w:rsidRPr="00285A46" w:rsidRDefault="0025397C">
            <w:pPr>
              <w:keepNext/>
              <w:keepLines/>
              <w:widowControl w:val="0"/>
              <w:tabs>
                <w:tab w:val="center" w:pos="4677"/>
                <w:tab w:val="right" w:pos="9355"/>
              </w:tabs>
              <w:suppressAutoHyphens/>
              <w:spacing w:after="0" w:line="240" w:lineRule="auto"/>
              <w:jc w:val="both"/>
              <w:outlineLvl w:val="1"/>
              <w:rPr>
                <w:rFonts w:ascii="Times New Roman" w:hAnsi="Times New Roman" w:cs="Times New Roman"/>
                <w:sz w:val="20"/>
                <w:szCs w:val="20"/>
              </w:rPr>
            </w:pPr>
            <w:r w:rsidRPr="00285A46">
              <w:rPr>
                <w:rFonts w:ascii="Times New Roman" w:hAnsi="Times New Roman" w:cs="Times New Roman"/>
                <w:sz w:val="20"/>
                <w:szCs w:val="20"/>
                <w:lang w:eastAsia="ru-RU"/>
              </w:rPr>
              <w:t>РЗ</w:t>
            </w:r>
            <w:r w:rsidRPr="00285A46">
              <w:rPr>
                <w:rFonts w:ascii="Times New Roman" w:hAnsi="Times New Roman" w:cs="Times New Roman"/>
                <w:sz w:val="20"/>
                <w:szCs w:val="20"/>
                <w:vertAlign w:val="subscript"/>
                <w:lang w:eastAsia="ru-RU"/>
              </w:rPr>
              <w:t xml:space="preserve">Ктех </w:t>
            </w:r>
            <w:r w:rsidRPr="00285A46">
              <w:rPr>
                <w:rFonts w:ascii="Times New Roman" w:hAnsi="Times New Roman" w:cs="Times New Roman"/>
                <w:sz w:val="20"/>
                <w:szCs w:val="20"/>
                <w:lang w:eastAsia="ru-RU"/>
              </w:rPr>
              <w:t xml:space="preserve">– рейтинг заявки </w:t>
            </w:r>
            <w:r w:rsidRPr="00285A46">
              <w:rPr>
                <w:rFonts w:ascii="Times New Roman" w:hAnsi="Times New Roman" w:cs="Times New Roman"/>
                <w:sz w:val="20"/>
                <w:szCs w:val="2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7B343643" w14:textId="77777777" w:rsidR="0025397C" w:rsidRPr="00285A46" w:rsidRDefault="0025397C" w:rsidP="0025397C">
      <w:pPr>
        <w:pStyle w:val="ConsPlusNormal"/>
        <w:spacing w:line="276" w:lineRule="auto"/>
        <w:ind w:firstLine="567"/>
        <w:jc w:val="both"/>
        <w:rPr>
          <w:rFonts w:ascii="Times New Roman" w:hAnsi="Times New Roman" w:cs="Times New Roman"/>
          <w:sz w:val="24"/>
          <w:szCs w:val="24"/>
        </w:rPr>
      </w:pPr>
    </w:p>
    <w:p w14:paraId="506A48D0" w14:textId="40D94CF4" w:rsidR="003803B7" w:rsidRPr="00285A46" w:rsidRDefault="00211E42" w:rsidP="00E34764">
      <w:pPr>
        <w:pStyle w:val="ConsPlusNormal"/>
        <w:numPr>
          <w:ilvl w:val="0"/>
          <w:numId w:val="6"/>
        </w:numPr>
        <w:spacing w:line="276" w:lineRule="auto"/>
        <w:ind w:left="0" w:firstLine="567"/>
        <w:jc w:val="both"/>
        <w:rPr>
          <w:rFonts w:ascii="Times New Roman" w:hAnsi="Times New Roman" w:cs="Times New Roman"/>
          <w:sz w:val="24"/>
          <w:szCs w:val="24"/>
        </w:rPr>
      </w:pPr>
      <w:r w:rsidRPr="00285A46">
        <w:rPr>
          <w:rFonts w:ascii="Times New Roman" w:eastAsiaTheme="minorHAnsi" w:hAnsi="Times New Roman" w:cs="Times New Roman"/>
          <w:sz w:val="24"/>
          <w:szCs w:val="24"/>
        </w:rPr>
        <w:t>В Приложении № 10</w:t>
      </w:r>
      <w:r w:rsidRPr="00285A46">
        <w:rPr>
          <w:rFonts w:ascii="Times New Roman" w:eastAsiaTheme="minorHAnsi" w:hAnsi="Times New Roman" w:cs="Times New Roman"/>
          <w:b/>
          <w:sz w:val="24"/>
          <w:szCs w:val="24"/>
        </w:rPr>
        <w:t xml:space="preserve"> </w:t>
      </w:r>
      <w:r w:rsidRPr="00285A46">
        <w:rPr>
          <w:rFonts w:ascii="Times New Roman" w:hAnsi="Times New Roman" w:cs="Times New Roman"/>
          <w:sz w:val="24"/>
          <w:szCs w:val="24"/>
        </w:rPr>
        <w:t xml:space="preserve">к Единому Положению о закупке Государственной корпорации «Ростех»  в  Разделе </w:t>
      </w:r>
      <w:r w:rsidRPr="00285A46">
        <w:rPr>
          <w:rFonts w:ascii="Times New Roman" w:hAnsi="Times New Roman" w:cs="Times New Roman"/>
          <w:sz w:val="24"/>
          <w:szCs w:val="24"/>
          <w:lang w:val="en-US"/>
        </w:rPr>
        <w:t>I</w:t>
      </w:r>
      <w:r w:rsidRPr="00285A46">
        <w:rPr>
          <w:rFonts w:ascii="Times New Roman" w:hAnsi="Times New Roman" w:cs="Times New Roman"/>
          <w:sz w:val="24"/>
          <w:szCs w:val="24"/>
        </w:rPr>
        <w:t xml:space="preserve"> пп. 1.5 исключить.</w:t>
      </w:r>
    </w:p>
    <w:sectPr w:rsidR="003803B7" w:rsidRPr="00285A46" w:rsidSect="00990FA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CDF40" w14:textId="77777777" w:rsidR="00226E97" w:rsidRDefault="00226E97" w:rsidP="00A54F63">
      <w:pPr>
        <w:spacing w:after="0" w:line="240" w:lineRule="auto"/>
      </w:pPr>
      <w:r>
        <w:separator/>
      </w:r>
    </w:p>
  </w:endnote>
  <w:endnote w:type="continuationSeparator" w:id="0">
    <w:p w14:paraId="173F1F8D" w14:textId="77777777" w:rsidR="00226E97" w:rsidRDefault="00226E97"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B381F6" w14:textId="77777777" w:rsidR="00226E97" w:rsidRDefault="00226E97" w:rsidP="00A54F63">
      <w:pPr>
        <w:spacing w:after="0" w:line="240" w:lineRule="auto"/>
      </w:pPr>
      <w:r>
        <w:separator/>
      </w:r>
    </w:p>
  </w:footnote>
  <w:footnote w:type="continuationSeparator" w:id="0">
    <w:p w14:paraId="054E0B87" w14:textId="77777777" w:rsidR="00226E97" w:rsidRDefault="00226E97" w:rsidP="00A54F63">
      <w:pPr>
        <w:spacing w:after="0" w:line="240" w:lineRule="auto"/>
      </w:pPr>
      <w:r>
        <w:continuationSeparator/>
      </w:r>
    </w:p>
  </w:footnote>
  <w:footnote w:id="1">
    <w:p w14:paraId="1998950A" w14:textId="77777777" w:rsidR="00226E97" w:rsidRPr="00355F70" w:rsidRDefault="00226E97" w:rsidP="0025397C">
      <w:pPr>
        <w:pStyle w:val="ad"/>
        <w:rPr>
          <w:rFonts w:ascii="Times New Roman" w:hAnsi="Times New Roman"/>
          <w:lang w:eastAsia="en-US"/>
        </w:rPr>
      </w:pPr>
      <w:r w:rsidRPr="00355F70">
        <w:rPr>
          <w:rStyle w:val="af0"/>
        </w:rPr>
        <w:footnoteRef/>
      </w:r>
      <w:r w:rsidRPr="00355F70">
        <w:rPr>
          <w:rFonts w:ascii="Times New Roman" w:hAnsi="Times New Roman"/>
        </w:rPr>
        <w:t xml:space="preserve"> Под опытом оказания услуг сопоставимого характера понимается опыт оказания лизинговых услуг</w:t>
      </w:r>
    </w:p>
  </w:footnote>
  <w:footnote w:id="2">
    <w:p w14:paraId="0D9A65CC" w14:textId="77777777" w:rsidR="00226E97" w:rsidRDefault="00226E97" w:rsidP="0025397C">
      <w:pPr>
        <w:pStyle w:val="ad"/>
        <w:rPr>
          <w:rFonts w:ascii="Proxima Nova ExCn Rg" w:hAnsi="Proxima Nova ExCn Rg"/>
        </w:rPr>
      </w:pPr>
      <w:r w:rsidRPr="00355F70">
        <w:rPr>
          <w:rStyle w:val="af0"/>
        </w:rPr>
        <w:footnoteRef/>
      </w:r>
      <w:r w:rsidRPr="00355F70">
        <w:rPr>
          <w:rFonts w:ascii="Times New Roman" w:hAnsi="Times New Roman"/>
        </w:rPr>
        <w:t xml:space="preserve"> Под опытом оказания услуг сопоставимого объема понимается опыт оказания лизинговых услуг по договору (контракту), цена которого составляет не менее НМЦ</w:t>
      </w:r>
    </w:p>
  </w:footnote>
  <w:footnote w:id="3">
    <w:p w14:paraId="773FE952" w14:textId="77777777" w:rsidR="00226E97" w:rsidRDefault="00226E97" w:rsidP="0025397C">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w:t>
      </w:r>
      <w:r w:rsidRPr="00355F70">
        <w:rPr>
          <w:rFonts w:ascii="Times New Roman" w:hAnsi="Times New Roman"/>
        </w:rPr>
        <w:t>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r>
        <w:rPr>
          <w:rFonts w:ascii="Proxima Nova ExCn Rg" w:hAnsi="Proxima Nova ExCn Rg"/>
        </w:rPr>
        <w:t>.</w:t>
      </w:r>
    </w:p>
  </w:footnote>
  <w:footnote w:id="4">
    <w:p w14:paraId="69E6E10D" w14:textId="77777777" w:rsidR="00226E97" w:rsidRDefault="00226E97" w:rsidP="0025397C">
      <w:pPr>
        <w:pStyle w:val="ad"/>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w:t>
      </w:r>
      <w:r w:rsidRPr="00355F70">
        <w:rPr>
          <w:rFonts w:ascii="Times New Roman" w:hAnsi="Times New Roman"/>
        </w:rPr>
        <w:t>Если предмет лизинга страхуется Заказчиком такая составляющая структуры состава затрат считается представленной участником закупки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5AB0E7A"/>
    <w:multiLevelType w:val="hybridMultilevel"/>
    <w:tmpl w:val="BB16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AE5A3F94">
      <w:start w:val="1"/>
      <w:numFmt w:val="decimal"/>
      <w:lvlText w:val="(%4)"/>
      <w:lvlJc w:val="left"/>
      <w:pPr>
        <w:ind w:left="2880" w:hanging="360"/>
      </w:pPr>
      <w:rPr>
        <w:rFonts w:ascii="Times New Roman" w:eastAsiaTheme="minorHAnsi" w:hAnsi="Times New Roman" w:cs="Times New Roman"/>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F0B46B5"/>
    <w:multiLevelType w:val="multilevel"/>
    <w:tmpl w:val="7C9AA7D4"/>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342341"/>
    <w:multiLevelType w:val="hybridMultilevel"/>
    <w:tmpl w:val="6D1E71C4"/>
    <w:lvl w:ilvl="0" w:tplc="8C6CABBC">
      <w:start w:val="1"/>
      <w:numFmt w:val="decimal"/>
      <w:lvlText w:val="%1."/>
      <w:lvlJc w:val="left"/>
      <w:pPr>
        <w:ind w:left="128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EE42A89"/>
    <w:multiLevelType w:val="hybridMultilevel"/>
    <w:tmpl w:val="80FE2864"/>
    <w:lvl w:ilvl="0" w:tplc="4376988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15:restartNumberingAfterBreak="0">
    <w:nsid w:val="34BA754D"/>
    <w:multiLevelType w:val="hybridMultilevel"/>
    <w:tmpl w:val="CC6CFBC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47A01BCC"/>
    <w:multiLevelType w:val="hybridMultilevel"/>
    <w:tmpl w:val="9A4E2DE6"/>
    <w:lvl w:ilvl="0" w:tplc="206C2B90">
      <w:start w:val="1"/>
      <w:numFmt w:val="decimal"/>
      <w:lvlText w:val="%1)"/>
      <w:lvlJc w:val="left"/>
      <w:pPr>
        <w:ind w:left="720" w:hanging="360"/>
      </w:pPr>
    </w:lvl>
    <w:lvl w:ilvl="1" w:tplc="BF3E1E14">
      <w:start w:val="1"/>
      <w:numFmt w:val="lowerLetter"/>
      <w:lvlText w:val="%2."/>
      <w:lvlJc w:val="left"/>
      <w:pPr>
        <w:ind w:left="1440" w:hanging="360"/>
      </w:pPr>
    </w:lvl>
    <w:lvl w:ilvl="2" w:tplc="691A9454">
      <w:start w:val="1"/>
      <w:numFmt w:val="lowerRoman"/>
      <w:lvlText w:val="%3."/>
      <w:lvlJc w:val="right"/>
      <w:pPr>
        <w:ind w:left="2160" w:hanging="180"/>
      </w:pPr>
    </w:lvl>
    <w:lvl w:ilvl="3" w:tplc="F63C0ECC">
      <w:start w:val="1"/>
      <w:numFmt w:val="decimal"/>
      <w:lvlText w:val="%4."/>
      <w:lvlJc w:val="left"/>
      <w:pPr>
        <w:ind w:left="2880" w:hanging="360"/>
      </w:pPr>
    </w:lvl>
    <w:lvl w:ilvl="4" w:tplc="1A36DE84">
      <w:start w:val="1"/>
      <w:numFmt w:val="lowerLetter"/>
      <w:lvlText w:val="%5."/>
      <w:lvlJc w:val="left"/>
      <w:pPr>
        <w:ind w:left="3600" w:hanging="360"/>
      </w:pPr>
    </w:lvl>
    <w:lvl w:ilvl="5" w:tplc="2C4CD30A">
      <w:start w:val="1"/>
      <w:numFmt w:val="lowerRoman"/>
      <w:lvlText w:val="%6."/>
      <w:lvlJc w:val="right"/>
      <w:pPr>
        <w:ind w:left="4320" w:hanging="180"/>
      </w:pPr>
    </w:lvl>
    <w:lvl w:ilvl="6" w:tplc="9E080EBC">
      <w:start w:val="1"/>
      <w:numFmt w:val="decimal"/>
      <w:lvlText w:val="%7."/>
      <w:lvlJc w:val="left"/>
      <w:pPr>
        <w:ind w:left="5040" w:hanging="360"/>
      </w:pPr>
    </w:lvl>
    <w:lvl w:ilvl="7" w:tplc="ACFA7494">
      <w:start w:val="1"/>
      <w:numFmt w:val="lowerLetter"/>
      <w:lvlText w:val="%8."/>
      <w:lvlJc w:val="left"/>
      <w:pPr>
        <w:ind w:left="5760" w:hanging="360"/>
      </w:pPr>
    </w:lvl>
    <w:lvl w:ilvl="8" w:tplc="DB48FE50">
      <w:start w:val="1"/>
      <w:numFmt w:val="lowerRoman"/>
      <w:lvlText w:val="%9."/>
      <w:lvlJc w:val="right"/>
      <w:pPr>
        <w:ind w:left="6480" w:hanging="180"/>
      </w:pPr>
    </w:lvl>
  </w:abstractNum>
  <w:abstractNum w:abstractNumId="10" w15:restartNumberingAfterBreak="0">
    <w:nsid w:val="4F5F4252"/>
    <w:multiLevelType w:val="hybridMultilevel"/>
    <w:tmpl w:val="74F8F332"/>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2" w15:restartNumberingAfterBreak="0">
    <w:nsid w:val="53E075CF"/>
    <w:multiLevelType w:val="hybridMultilevel"/>
    <w:tmpl w:val="90BCE71E"/>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6B1B2DF7"/>
    <w:multiLevelType w:val="hybridMultilevel"/>
    <w:tmpl w:val="F49A7698"/>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3"/>
  </w:num>
  <w:num w:numId="3">
    <w:abstractNumId w:val="2"/>
  </w:num>
  <w:num w:numId="4">
    <w:abstractNumId w:val="7"/>
  </w:num>
  <w:num w:numId="5">
    <w:abstractNumId w:val="8"/>
  </w:num>
  <w:num w:numId="6">
    <w:abstractNumId w:val="13"/>
  </w:num>
  <w:num w:numId="7">
    <w:abstractNumId w:val="1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6"/>
  </w:num>
  <w:num w:numId="15">
    <w:abstractNumId w:val="5"/>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63"/>
    <w:rsid w:val="00081234"/>
    <w:rsid w:val="0008223F"/>
    <w:rsid w:val="000871CC"/>
    <w:rsid w:val="000960B3"/>
    <w:rsid w:val="001113E3"/>
    <w:rsid w:val="00111804"/>
    <w:rsid w:val="00152DE5"/>
    <w:rsid w:val="00155B0A"/>
    <w:rsid w:val="00167700"/>
    <w:rsid w:val="001B5F78"/>
    <w:rsid w:val="001C0551"/>
    <w:rsid w:val="001E77A3"/>
    <w:rsid w:val="001F48CE"/>
    <w:rsid w:val="00211E42"/>
    <w:rsid w:val="00223109"/>
    <w:rsid w:val="002253EA"/>
    <w:rsid w:val="00226E97"/>
    <w:rsid w:val="0024084D"/>
    <w:rsid w:val="0025397C"/>
    <w:rsid w:val="00281440"/>
    <w:rsid w:val="00285A46"/>
    <w:rsid w:val="002C1320"/>
    <w:rsid w:val="002C544C"/>
    <w:rsid w:val="00337F3B"/>
    <w:rsid w:val="00340F7C"/>
    <w:rsid w:val="003442C2"/>
    <w:rsid w:val="00353DAD"/>
    <w:rsid w:val="00355F70"/>
    <w:rsid w:val="00362E76"/>
    <w:rsid w:val="00364347"/>
    <w:rsid w:val="003803B7"/>
    <w:rsid w:val="00396D81"/>
    <w:rsid w:val="003B2C77"/>
    <w:rsid w:val="003B79EE"/>
    <w:rsid w:val="003E5B50"/>
    <w:rsid w:val="003F0499"/>
    <w:rsid w:val="00400CD6"/>
    <w:rsid w:val="00415E89"/>
    <w:rsid w:val="00461CDD"/>
    <w:rsid w:val="00491CE6"/>
    <w:rsid w:val="004A258E"/>
    <w:rsid w:val="0054155A"/>
    <w:rsid w:val="005511B6"/>
    <w:rsid w:val="005652C4"/>
    <w:rsid w:val="00591657"/>
    <w:rsid w:val="005A59FB"/>
    <w:rsid w:val="005B7E6B"/>
    <w:rsid w:val="005D639E"/>
    <w:rsid w:val="0060607D"/>
    <w:rsid w:val="00610EBB"/>
    <w:rsid w:val="00636A7F"/>
    <w:rsid w:val="0065761D"/>
    <w:rsid w:val="006614A3"/>
    <w:rsid w:val="00666A21"/>
    <w:rsid w:val="006F6335"/>
    <w:rsid w:val="007332EA"/>
    <w:rsid w:val="00770FE3"/>
    <w:rsid w:val="007A2796"/>
    <w:rsid w:val="007A3B4A"/>
    <w:rsid w:val="007C5E80"/>
    <w:rsid w:val="007C7A5A"/>
    <w:rsid w:val="007D671F"/>
    <w:rsid w:val="0080377F"/>
    <w:rsid w:val="00821EDD"/>
    <w:rsid w:val="0085408F"/>
    <w:rsid w:val="008672D5"/>
    <w:rsid w:val="008C6D0D"/>
    <w:rsid w:val="008D25A8"/>
    <w:rsid w:val="008F510A"/>
    <w:rsid w:val="0090147C"/>
    <w:rsid w:val="00947CAE"/>
    <w:rsid w:val="0095006B"/>
    <w:rsid w:val="0095282A"/>
    <w:rsid w:val="00971460"/>
    <w:rsid w:val="00990FA1"/>
    <w:rsid w:val="009938B5"/>
    <w:rsid w:val="009A5E0D"/>
    <w:rsid w:val="009C3C90"/>
    <w:rsid w:val="009D056B"/>
    <w:rsid w:val="009D50B5"/>
    <w:rsid w:val="00A0688D"/>
    <w:rsid w:val="00A119BF"/>
    <w:rsid w:val="00A1712D"/>
    <w:rsid w:val="00A54F63"/>
    <w:rsid w:val="00A879A7"/>
    <w:rsid w:val="00AA68D0"/>
    <w:rsid w:val="00AE69CE"/>
    <w:rsid w:val="00B31CA7"/>
    <w:rsid w:val="00B34AAE"/>
    <w:rsid w:val="00B43B23"/>
    <w:rsid w:val="00B54659"/>
    <w:rsid w:val="00B5745C"/>
    <w:rsid w:val="00B8158A"/>
    <w:rsid w:val="00B96639"/>
    <w:rsid w:val="00BF299F"/>
    <w:rsid w:val="00C54917"/>
    <w:rsid w:val="00CA5D33"/>
    <w:rsid w:val="00CD2E39"/>
    <w:rsid w:val="00D47455"/>
    <w:rsid w:val="00D5088C"/>
    <w:rsid w:val="00D601FA"/>
    <w:rsid w:val="00D80798"/>
    <w:rsid w:val="00DD4A58"/>
    <w:rsid w:val="00DE1FE4"/>
    <w:rsid w:val="00DF0C24"/>
    <w:rsid w:val="00DF73C4"/>
    <w:rsid w:val="00E1040E"/>
    <w:rsid w:val="00E20757"/>
    <w:rsid w:val="00E315CF"/>
    <w:rsid w:val="00E34764"/>
    <w:rsid w:val="00E724C1"/>
    <w:rsid w:val="00EB3B11"/>
    <w:rsid w:val="00EF4ADC"/>
    <w:rsid w:val="00F42239"/>
    <w:rsid w:val="00FB2FD3"/>
    <w:rsid w:val="00FD25A4"/>
    <w:rsid w:val="00FD3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FFF6"/>
  <w15:docId w15:val="{5A6D7627-A0EF-46C7-BF22-E4A451F1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rsid w:val="00226E97"/>
    <w:pPr>
      <w:keepNext/>
      <w:keepLines/>
      <w:numPr>
        <w:numId w:val="16"/>
      </w:numPr>
      <w:spacing w:before="600" w:after="240"/>
      <w:outlineLvl w:val="0"/>
    </w:pPr>
    <w:rPr>
      <w:rFonts w:ascii="Cambria" w:eastAsia="Times New Roman" w:hAnsi="Cambria" w:cs="Times New Roman"/>
      <w:b/>
      <w:bCs/>
      <w:color w:val="365F91"/>
      <w:sz w:val="36"/>
      <w:szCs w:val="28"/>
    </w:rPr>
  </w:style>
  <w:style w:type="paragraph" w:styleId="50">
    <w:name w:val="heading 5"/>
    <w:basedOn w:val="a0"/>
    <w:next w:val="a0"/>
    <w:link w:val="51"/>
    <w:uiPriority w:val="99"/>
    <w:qFormat/>
    <w:rsid w:val="00226E97"/>
    <w:pPr>
      <w:keepNext/>
      <w:keepLines/>
      <w:numPr>
        <w:ilvl w:val="4"/>
        <w:numId w:val="16"/>
      </w:numPr>
      <w:spacing w:before="200" w:after="0"/>
      <w:outlineLvl w:val="4"/>
    </w:pPr>
    <w:rPr>
      <w:rFonts w:ascii="Cambria" w:eastAsia="Times New Roman" w:hAnsi="Cambria" w:cs="Times New Roman"/>
      <w:color w:val="243F60"/>
      <w:sz w:val="24"/>
    </w:rPr>
  </w:style>
  <w:style w:type="paragraph" w:styleId="60">
    <w:name w:val="heading 6"/>
    <w:basedOn w:val="a0"/>
    <w:next w:val="a0"/>
    <w:link w:val="61"/>
    <w:uiPriority w:val="99"/>
    <w:qFormat/>
    <w:rsid w:val="00226E97"/>
    <w:pPr>
      <w:keepNext/>
      <w:keepLines/>
      <w:numPr>
        <w:ilvl w:val="5"/>
        <w:numId w:val="16"/>
      </w:numPr>
      <w:spacing w:before="200" w:after="0"/>
      <w:outlineLvl w:val="5"/>
    </w:pPr>
    <w:rPr>
      <w:rFonts w:ascii="Cambria" w:eastAsia="Times New Roman" w:hAnsi="Cambria" w:cs="Times New Roman"/>
      <w:i/>
      <w:iCs/>
      <w:color w:val="243F60"/>
      <w:sz w:val="24"/>
    </w:rPr>
  </w:style>
  <w:style w:type="paragraph" w:styleId="7">
    <w:name w:val="heading 7"/>
    <w:basedOn w:val="a0"/>
    <w:next w:val="a0"/>
    <w:link w:val="70"/>
    <w:uiPriority w:val="99"/>
    <w:qFormat/>
    <w:rsid w:val="00226E97"/>
    <w:pPr>
      <w:keepNext/>
      <w:keepLines/>
      <w:numPr>
        <w:ilvl w:val="6"/>
        <w:numId w:val="16"/>
      </w:numPr>
      <w:spacing w:before="200" w:after="0"/>
      <w:outlineLvl w:val="6"/>
    </w:pPr>
    <w:rPr>
      <w:rFonts w:ascii="Cambria" w:eastAsia="Times New Roman" w:hAnsi="Cambria" w:cs="Times New Roman"/>
      <w:i/>
      <w:iCs/>
      <w:color w:val="404040"/>
      <w:sz w:val="24"/>
    </w:rPr>
  </w:style>
  <w:style w:type="paragraph" w:styleId="8">
    <w:name w:val="heading 8"/>
    <w:basedOn w:val="a0"/>
    <w:next w:val="a0"/>
    <w:link w:val="80"/>
    <w:uiPriority w:val="99"/>
    <w:qFormat/>
    <w:rsid w:val="00226E97"/>
    <w:pPr>
      <w:keepNext/>
      <w:keepLines/>
      <w:numPr>
        <w:ilvl w:val="7"/>
        <w:numId w:val="16"/>
      </w:numPr>
      <w:spacing w:before="200" w:after="0"/>
      <w:outlineLvl w:val="7"/>
    </w:pPr>
    <w:rPr>
      <w:rFonts w:ascii="Cambria" w:eastAsia="Times New Roman" w:hAnsi="Cambria" w:cs="Times New Roman"/>
      <w:color w:val="404040"/>
      <w:sz w:val="20"/>
      <w:szCs w:val="20"/>
    </w:rPr>
  </w:style>
  <w:style w:type="paragraph" w:styleId="9">
    <w:name w:val="heading 9"/>
    <w:basedOn w:val="a0"/>
    <w:next w:val="a0"/>
    <w:link w:val="90"/>
    <w:uiPriority w:val="99"/>
    <w:qFormat/>
    <w:rsid w:val="00226E97"/>
    <w:pPr>
      <w:keepNext/>
      <w:keepLines/>
      <w:numPr>
        <w:ilvl w:val="8"/>
        <w:numId w:val="16"/>
      </w:numPr>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A54F63"/>
    <w:pPr>
      <w:ind w:left="720"/>
      <w:contextualSpacing/>
    </w:pPr>
  </w:style>
  <w:style w:type="character" w:styleId="a5">
    <w:name w:val="annotation reference"/>
    <w:basedOn w:val="a1"/>
    <w:uiPriority w:val="99"/>
    <w:semiHidden/>
    <w:unhideWhenUsed/>
    <w:rsid w:val="0095282A"/>
    <w:rPr>
      <w:sz w:val="16"/>
      <w:szCs w:val="16"/>
    </w:rPr>
  </w:style>
  <w:style w:type="paragraph" w:styleId="a6">
    <w:name w:val="annotation text"/>
    <w:basedOn w:val="a0"/>
    <w:link w:val="a7"/>
    <w:semiHidden/>
    <w:unhideWhenUsed/>
    <w:rsid w:val="0095282A"/>
    <w:pPr>
      <w:spacing w:line="240" w:lineRule="auto"/>
    </w:pPr>
    <w:rPr>
      <w:sz w:val="20"/>
      <w:szCs w:val="20"/>
    </w:rPr>
  </w:style>
  <w:style w:type="character" w:customStyle="1" w:styleId="a7">
    <w:name w:val="Текст примечания Знак"/>
    <w:basedOn w:val="a1"/>
    <w:link w:val="a6"/>
    <w:semiHidden/>
    <w:rsid w:val="0095282A"/>
    <w:rPr>
      <w:sz w:val="20"/>
      <w:szCs w:val="20"/>
    </w:rPr>
  </w:style>
  <w:style w:type="paragraph" w:styleId="a8">
    <w:name w:val="annotation subject"/>
    <w:basedOn w:val="a6"/>
    <w:next w:val="a6"/>
    <w:link w:val="a9"/>
    <w:uiPriority w:val="99"/>
    <w:semiHidden/>
    <w:unhideWhenUsed/>
    <w:rsid w:val="0095282A"/>
    <w:rPr>
      <w:b/>
      <w:bCs/>
    </w:rPr>
  </w:style>
  <w:style w:type="character" w:customStyle="1" w:styleId="a9">
    <w:name w:val="Тема примечания Знак"/>
    <w:basedOn w:val="a7"/>
    <w:link w:val="a8"/>
    <w:uiPriority w:val="99"/>
    <w:semiHidden/>
    <w:rsid w:val="0095282A"/>
    <w:rPr>
      <w:b/>
      <w:bCs/>
      <w:sz w:val="20"/>
      <w:szCs w:val="20"/>
    </w:rPr>
  </w:style>
  <w:style w:type="paragraph" w:styleId="aa">
    <w:name w:val="Balloon Text"/>
    <w:basedOn w:val="a0"/>
    <w:link w:val="ab"/>
    <w:uiPriority w:val="99"/>
    <w:semiHidden/>
    <w:unhideWhenUsed/>
    <w:rsid w:val="0095282A"/>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5282A"/>
    <w:rPr>
      <w:rFonts w:ascii="Tahoma" w:hAnsi="Tahoma" w:cs="Tahoma"/>
      <w:sz w:val="16"/>
      <w:szCs w:val="16"/>
    </w:rPr>
  </w:style>
  <w:style w:type="paragraph" w:customStyle="1" w:styleId="3">
    <w:name w:val="[Ростех] Наименование Подраздела (Уровень 3)"/>
    <w:link w:val="30"/>
    <w:uiPriority w:val="99"/>
    <w:qFormat/>
    <w:rsid w:val="00337F3B"/>
    <w:pPr>
      <w:keepNext/>
      <w:keepLines/>
      <w:numPr>
        <w:ilvl w:val="1"/>
        <w:numId w:val="3"/>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337F3B"/>
    <w:pPr>
      <w:keepNext/>
      <w:keepLines/>
      <w:numPr>
        <w:numId w:val="3"/>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c"/>
    <w:uiPriority w:val="99"/>
    <w:qFormat/>
    <w:rsid w:val="00337F3B"/>
    <w:pPr>
      <w:numPr>
        <w:ilvl w:val="5"/>
        <w:numId w:val="3"/>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2"/>
    <w:uiPriority w:val="99"/>
    <w:qFormat/>
    <w:rsid w:val="00337F3B"/>
    <w:pPr>
      <w:numPr>
        <w:ilvl w:val="3"/>
        <w:numId w:val="3"/>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2">
    <w:name w:val="[Ростех] Текст Подпункта (Уровень 5) Знак"/>
    <w:basedOn w:val="a1"/>
    <w:link w:val="5"/>
    <w:uiPriority w:val="99"/>
    <w:rsid w:val="00337F3B"/>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2"/>
    <w:uiPriority w:val="99"/>
    <w:qFormat/>
    <w:rsid w:val="00337F3B"/>
    <w:pPr>
      <w:numPr>
        <w:ilvl w:val="4"/>
        <w:numId w:val="3"/>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337F3B"/>
    <w:pPr>
      <w:numPr>
        <w:ilvl w:val="2"/>
        <w:numId w:val="3"/>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lang w:eastAsia="ru-RU"/>
    </w:rPr>
  </w:style>
  <w:style w:type="character" w:customStyle="1" w:styleId="62">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lang w:eastAsia="ru-RU"/>
    </w:rPr>
  </w:style>
  <w:style w:type="paragraph" w:styleId="ad">
    <w:name w:val="footnote text"/>
    <w:basedOn w:val="a0"/>
    <w:link w:val="ae"/>
    <w:uiPriority w:val="99"/>
    <w:semiHidden/>
    <w:rsid w:val="008672D5"/>
    <w:pPr>
      <w:spacing w:after="0" w:line="240" w:lineRule="auto"/>
    </w:pPr>
    <w:rPr>
      <w:rFonts w:ascii="Calibri" w:eastAsia="Calibri" w:hAnsi="Calibri" w:cs="Times New Roman"/>
      <w:sz w:val="20"/>
      <w:szCs w:val="20"/>
      <w:lang w:eastAsia="ru-RU"/>
    </w:rPr>
  </w:style>
  <w:style w:type="character" w:customStyle="1" w:styleId="ae">
    <w:name w:val="Текст сноски Знак"/>
    <w:basedOn w:val="a1"/>
    <w:link w:val="ad"/>
    <w:uiPriority w:val="99"/>
    <w:semiHidden/>
    <w:rsid w:val="008672D5"/>
    <w:rPr>
      <w:rFonts w:ascii="Calibri" w:eastAsia="Calibri" w:hAnsi="Calibri" w:cs="Times New Roman"/>
      <w:sz w:val="20"/>
      <w:szCs w:val="20"/>
      <w:lang w:eastAsia="ru-RU"/>
    </w:rPr>
  </w:style>
  <w:style w:type="paragraph" w:customStyle="1" w:styleId="ConsPlusTitle">
    <w:name w:val="ConsPlusTitle"/>
    <w:rsid w:val="00CA5D33"/>
    <w:pPr>
      <w:widowControl w:val="0"/>
      <w:autoSpaceDE w:val="0"/>
      <w:autoSpaceDN w:val="0"/>
      <w:spacing w:after="0" w:line="240" w:lineRule="auto"/>
    </w:pPr>
    <w:rPr>
      <w:rFonts w:ascii="Calibri" w:eastAsia="Times New Roman" w:hAnsi="Calibri" w:cs="Calibri"/>
      <w:b/>
      <w:szCs w:val="20"/>
      <w:lang w:eastAsia="ru-RU"/>
    </w:rPr>
  </w:style>
  <w:style w:type="character" w:customStyle="1" w:styleId="ac">
    <w:name w:val="[Ростех] Простой текст (Без уровня) Знак"/>
    <w:basedOn w:val="a1"/>
    <w:link w:val="a"/>
    <w:uiPriority w:val="99"/>
    <w:locked/>
    <w:rsid w:val="00CA5D33"/>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a1"/>
    <w:link w:val="3"/>
    <w:uiPriority w:val="99"/>
    <w:locked/>
    <w:rsid w:val="00D5088C"/>
    <w:rPr>
      <w:rFonts w:ascii="Proxima Nova ExCn Rg" w:eastAsia="Times New Roman" w:hAnsi="Proxima Nova ExCn Rg" w:cs="Times New Roman"/>
      <w:b/>
      <w:sz w:val="28"/>
      <w:szCs w:val="28"/>
      <w:lang w:eastAsia="ru-RU"/>
    </w:rPr>
  </w:style>
  <w:style w:type="paragraph" w:customStyle="1" w:styleId="ConsPlusNormal">
    <w:name w:val="ConsPlusNormal"/>
    <w:rsid w:val="009C3C90"/>
    <w:pPr>
      <w:widowControl w:val="0"/>
      <w:autoSpaceDE w:val="0"/>
      <w:autoSpaceDN w:val="0"/>
      <w:spacing w:after="0" w:line="240" w:lineRule="auto"/>
    </w:pPr>
    <w:rPr>
      <w:rFonts w:ascii="Calibri" w:eastAsia="Times New Roman" w:hAnsi="Calibri" w:cs="Calibri"/>
      <w:szCs w:val="20"/>
      <w:lang w:eastAsia="ru-RU"/>
    </w:rPr>
  </w:style>
  <w:style w:type="table" w:styleId="af">
    <w:name w:val="Table Grid"/>
    <w:basedOn w:val="a2"/>
    <w:rsid w:val="003803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uiPriority w:val="99"/>
    <w:semiHidden/>
    <w:unhideWhenUsed/>
    <w:rsid w:val="003803B7"/>
    <w:rPr>
      <w:rFonts w:ascii="Times New Roman" w:hAnsi="Times New Roman" w:cs="Times New Roman" w:hint="default"/>
      <w:vertAlign w:val="superscript"/>
    </w:rPr>
  </w:style>
  <w:style w:type="character" w:customStyle="1" w:styleId="10">
    <w:name w:val="Заголовок 1 Знак"/>
    <w:basedOn w:val="a1"/>
    <w:link w:val="1"/>
    <w:uiPriority w:val="99"/>
    <w:rsid w:val="00226E97"/>
    <w:rPr>
      <w:rFonts w:ascii="Cambria" w:eastAsia="Times New Roman" w:hAnsi="Cambria" w:cs="Times New Roman"/>
      <w:b/>
      <w:bCs/>
      <w:color w:val="365F91"/>
      <w:sz w:val="36"/>
      <w:szCs w:val="28"/>
    </w:rPr>
  </w:style>
  <w:style w:type="character" w:customStyle="1" w:styleId="51">
    <w:name w:val="Заголовок 5 Знак"/>
    <w:basedOn w:val="a1"/>
    <w:link w:val="50"/>
    <w:uiPriority w:val="99"/>
    <w:rsid w:val="00226E97"/>
    <w:rPr>
      <w:rFonts w:ascii="Cambria" w:eastAsia="Times New Roman" w:hAnsi="Cambria" w:cs="Times New Roman"/>
      <w:color w:val="243F60"/>
      <w:sz w:val="24"/>
    </w:rPr>
  </w:style>
  <w:style w:type="character" w:customStyle="1" w:styleId="61">
    <w:name w:val="Заголовок 6 Знак"/>
    <w:basedOn w:val="a1"/>
    <w:link w:val="60"/>
    <w:uiPriority w:val="99"/>
    <w:rsid w:val="00226E97"/>
    <w:rPr>
      <w:rFonts w:ascii="Cambria" w:eastAsia="Times New Roman" w:hAnsi="Cambria" w:cs="Times New Roman"/>
      <w:i/>
      <w:iCs/>
      <w:color w:val="243F60"/>
      <w:sz w:val="24"/>
    </w:rPr>
  </w:style>
  <w:style w:type="character" w:customStyle="1" w:styleId="70">
    <w:name w:val="Заголовок 7 Знак"/>
    <w:basedOn w:val="a1"/>
    <w:link w:val="7"/>
    <w:uiPriority w:val="99"/>
    <w:rsid w:val="00226E97"/>
    <w:rPr>
      <w:rFonts w:ascii="Cambria" w:eastAsia="Times New Roman" w:hAnsi="Cambria" w:cs="Times New Roman"/>
      <w:i/>
      <w:iCs/>
      <w:color w:val="404040"/>
      <w:sz w:val="24"/>
    </w:rPr>
  </w:style>
  <w:style w:type="character" w:customStyle="1" w:styleId="80">
    <w:name w:val="Заголовок 8 Знак"/>
    <w:basedOn w:val="a1"/>
    <w:link w:val="8"/>
    <w:uiPriority w:val="99"/>
    <w:rsid w:val="00226E97"/>
    <w:rPr>
      <w:rFonts w:ascii="Cambria" w:eastAsia="Times New Roman" w:hAnsi="Cambria" w:cs="Times New Roman"/>
      <w:color w:val="404040"/>
      <w:sz w:val="20"/>
      <w:szCs w:val="20"/>
    </w:rPr>
  </w:style>
  <w:style w:type="character" w:customStyle="1" w:styleId="90">
    <w:name w:val="Заголовок 9 Знак"/>
    <w:basedOn w:val="a1"/>
    <w:link w:val="9"/>
    <w:uiPriority w:val="99"/>
    <w:rsid w:val="00226E97"/>
    <w:rPr>
      <w:rFonts w:ascii="Cambria" w:eastAsia="Times New Roman" w:hAnsi="Cambria" w:cs="Times New Roman"/>
      <w:i/>
      <w:iCs/>
      <w:color w:val="404040"/>
      <w:sz w:val="20"/>
      <w:szCs w:val="20"/>
    </w:rPr>
  </w:style>
  <w:style w:type="paragraph" w:customStyle="1" w:styleId="20">
    <w:name w:val="Пункт2"/>
    <w:basedOn w:val="a0"/>
    <w:uiPriority w:val="99"/>
    <w:rsid w:val="00226E97"/>
    <w:pPr>
      <w:numPr>
        <w:ilvl w:val="1"/>
        <w:numId w:val="16"/>
      </w:numPr>
      <w:tabs>
        <w:tab w:val="left" w:pos="1134"/>
      </w:tabs>
      <w:jc w:val="both"/>
    </w:pPr>
    <w:rPr>
      <w:rFonts w:ascii="Calibri" w:eastAsia="Calibri" w:hAnsi="Calibri" w:cs="Times New Roman"/>
      <w:sz w:val="24"/>
    </w:rPr>
  </w:style>
  <w:style w:type="paragraph" w:customStyle="1" w:styleId="-3">
    <w:name w:val="Пункт-3"/>
    <w:basedOn w:val="a0"/>
    <w:uiPriority w:val="99"/>
    <w:rsid w:val="00226E97"/>
    <w:pPr>
      <w:numPr>
        <w:ilvl w:val="2"/>
        <w:numId w:val="16"/>
      </w:numPr>
      <w:tabs>
        <w:tab w:val="left" w:pos="1134"/>
      </w:tabs>
      <w:jc w:val="both"/>
    </w:pPr>
    <w:rPr>
      <w:rFonts w:ascii="Calibri" w:eastAsia="Calibri" w:hAnsi="Calibri" w:cs="Times New Roman"/>
      <w:sz w:val="24"/>
    </w:rPr>
  </w:style>
  <w:style w:type="paragraph" w:customStyle="1" w:styleId="-4">
    <w:name w:val="Пункт-4"/>
    <w:basedOn w:val="a0"/>
    <w:uiPriority w:val="99"/>
    <w:rsid w:val="00226E97"/>
    <w:pPr>
      <w:numPr>
        <w:ilvl w:val="3"/>
        <w:numId w:val="16"/>
      </w:numPr>
      <w:tabs>
        <w:tab w:val="left" w:pos="1134"/>
      </w:tabs>
      <w:jc w:val="both"/>
    </w:pPr>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14846">
      <w:bodyDiv w:val="1"/>
      <w:marLeft w:val="0"/>
      <w:marRight w:val="0"/>
      <w:marTop w:val="0"/>
      <w:marBottom w:val="0"/>
      <w:divBdr>
        <w:top w:val="none" w:sz="0" w:space="0" w:color="auto"/>
        <w:left w:val="none" w:sz="0" w:space="0" w:color="auto"/>
        <w:bottom w:val="none" w:sz="0" w:space="0" w:color="auto"/>
        <w:right w:val="none" w:sz="0" w:space="0" w:color="auto"/>
      </w:divBdr>
    </w:div>
    <w:div w:id="224296158">
      <w:bodyDiv w:val="1"/>
      <w:marLeft w:val="0"/>
      <w:marRight w:val="0"/>
      <w:marTop w:val="0"/>
      <w:marBottom w:val="0"/>
      <w:divBdr>
        <w:top w:val="none" w:sz="0" w:space="0" w:color="auto"/>
        <w:left w:val="none" w:sz="0" w:space="0" w:color="auto"/>
        <w:bottom w:val="none" w:sz="0" w:space="0" w:color="auto"/>
        <w:right w:val="none" w:sz="0" w:space="0" w:color="auto"/>
      </w:divBdr>
    </w:div>
    <w:div w:id="255410236">
      <w:bodyDiv w:val="1"/>
      <w:marLeft w:val="0"/>
      <w:marRight w:val="0"/>
      <w:marTop w:val="0"/>
      <w:marBottom w:val="0"/>
      <w:divBdr>
        <w:top w:val="none" w:sz="0" w:space="0" w:color="auto"/>
        <w:left w:val="none" w:sz="0" w:space="0" w:color="auto"/>
        <w:bottom w:val="none" w:sz="0" w:space="0" w:color="auto"/>
        <w:right w:val="none" w:sz="0" w:space="0" w:color="auto"/>
      </w:divBdr>
    </w:div>
    <w:div w:id="462816782">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1">
          <w:marLeft w:val="0"/>
          <w:marRight w:val="0"/>
          <w:marTop w:val="0"/>
          <w:marBottom w:val="0"/>
          <w:divBdr>
            <w:top w:val="none" w:sz="0" w:space="0" w:color="auto"/>
            <w:left w:val="none" w:sz="0" w:space="0" w:color="auto"/>
            <w:bottom w:val="none" w:sz="0" w:space="0" w:color="auto"/>
            <w:right w:val="none" w:sz="0" w:space="0" w:color="auto"/>
          </w:divBdr>
          <w:divsChild>
            <w:div w:id="16090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8699">
      <w:bodyDiv w:val="1"/>
      <w:marLeft w:val="0"/>
      <w:marRight w:val="0"/>
      <w:marTop w:val="0"/>
      <w:marBottom w:val="0"/>
      <w:divBdr>
        <w:top w:val="none" w:sz="0" w:space="0" w:color="auto"/>
        <w:left w:val="none" w:sz="0" w:space="0" w:color="auto"/>
        <w:bottom w:val="none" w:sz="0" w:space="0" w:color="auto"/>
        <w:right w:val="none" w:sz="0" w:space="0" w:color="auto"/>
      </w:divBdr>
    </w:div>
    <w:div w:id="706567980">
      <w:bodyDiv w:val="1"/>
      <w:marLeft w:val="0"/>
      <w:marRight w:val="0"/>
      <w:marTop w:val="0"/>
      <w:marBottom w:val="0"/>
      <w:divBdr>
        <w:top w:val="none" w:sz="0" w:space="0" w:color="auto"/>
        <w:left w:val="none" w:sz="0" w:space="0" w:color="auto"/>
        <w:bottom w:val="none" w:sz="0" w:space="0" w:color="auto"/>
        <w:right w:val="none" w:sz="0" w:space="0" w:color="auto"/>
      </w:divBdr>
    </w:div>
    <w:div w:id="773474681">
      <w:bodyDiv w:val="1"/>
      <w:marLeft w:val="0"/>
      <w:marRight w:val="0"/>
      <w:marTop w:val="0"/>
      <w:marBottom w:val="0"/>
      <w:divBdr>
        <w:top w:val="none" w:sz="0" w:space="0" w:color="auto"/>
        <w:left w:val="none" w:sz="0" w:space="0" w:color="auto"/>
        <w:bottom w:val="none" w:sz="0" w:space="0" w:color="auto"/>
        <w:right w:val="none" w:sz="0" w:space="0" w:color="auto"/>
      </w:divBdr>
    </w:div>
    <w:div w:id="883445096">
      <w:bodyDiv w:val="1"/>
      <w:marLeft w:val="0"/>
      <w:marRight w:val="0"/>
      <w:marTop w:val="0"/>
      <w:marBottom w:val="0"/>
      <w:divBdr>
        <w:top w:val="none" w:sz="0" w:space="0" w:color="auto"/>
        <w:left w:val="none" w:sz="0" w:space="0" w:color="auto"/>
        <w:bottom w:val="none" w:sz="0" w:space="0" w:color="auto"/>
        <w:right w:val="none" w:sz="0" w:space="0" w:color="auto"/>
      </w:divBdr>
    </w:div>
    <w:div w:id="1016426741">
      <w:bodyDiv w:val="1"/>
      <w:marLeft w:val="0"/>
      <w:marRight w:val="0"/>
      <w:marTop w:val="0"/>
      <w:marBottom w:val="0"/>
      <w:divBdr>
        <w:top w:val="none" w:sz="0" w:space="0" w:color="auto"/>
        <w:left w:val="none" w:sz="0" w:space="0" w:color="auto"/>
        <w:bottom w:val="none" w:sz="0" w:space="0" w:color="auto"/>
        <w:right w:val="none" w:sz="0" w:space="0" w:color="auto"/>
      </w:divBdr>
    </w:div>
    <w:div w:id="1101726389">
      <w:bodyDiv w:val="1"/>
      <w:marLeft w:val="0"/>
      <w:marRight w:val="0"/>
      <w:marTop w:val="0"/>
      <w:marBottom w:val="0"/>
      <w:divBdr>
        <w:top w:val="none" w:sz="0" w:space="0" w:color="auto"/>
        <w:left w:val="none" w:sz="0" w:space="0" w:color="auto"/>
        <w:bottom w:val="none" w:sz="0" w:space="0" w:color="auto"/>
        <w:right w:val="none" w:sz="0" w:space="0" w:color="auto"/>
      </w:divBdr>
    </w:div>
    <w:div w:id="1231963615">
      <w:bodyDiv w:val="1"/>
      <w:marLeft w:val="0"/>
      <w:marRight w:val="0"/>
      <w:marTop w:val="0"/>
      <w:marBottom w:val="0"/>
      <w:divBdr>
        <w:top w:val="none" w:sz="0" w:space="0" w:color="auto"/>
        <w:left w:val="none" w:sz="0" w:space="0" w:color="auto"/>
        <w:bottom w:val="none" w:sz="0" w:space="0" w:color="auto"/>
        <w:right w:val="none" w:sz="0" w:space="0" w:color="auto"/>
      </w:divBdr>
    </w:div>
    <w:div w:id="1427992834">
      <w:bodyDiv w:val="1"/>
      <w:marLeft w:val="0"/>
      <w:marRight w:val="0"/>
      <w:marTop w:val="0"/>
      <w:marBottom w:val="0"/>
      <w:divBdr>
        <w:top w:val="none" w:sz="0" w:space="0" w:color="auto"/>
        <w:left w:val="none" w:sz="0" w:space="0" w:color="auto"/>
        <w:bottom w:val="none" w:sz="0" w:space="0" w:color="auto"/>
        <w:right w:val="none" w:sz="0" w:space="0" w:color="auto"/>
      </w:divBdr>
    </w:div>
    <w:div w:id="1832018029">
      <w:bodyDiv w:val="1"/>
      <w:marLeft w:val="0"/>
      <w:marRight w:val="0"/>
      <w:marTop w:val="0"/>
      <w:marBottom w:val="0"/>
      <w:divBdr>
        <w:top w:val="none" w:sz="0" w:space="0" w:color="auto"/>
        <w:left w:val="none" w:sz="0" w:space="0" w:color="auto"/>
        <w:bottom w:val="none" w:sz="0" w:space="0" w:color="auto"/>
        <w:right w:val="none" w:sz="0" w:space="0" w:color="auto"/>
      </w:divBdr>
    </w:div>
    <w:div w:id="1921982847">
      <w:bodyDiv w:val="1"/>
      <w:marLeft w:val="0"/>
      <w:marRight w:val="0"/>
      <w:marTop w:val="0"/>
      <w:marBottom w:val="0"/>
      <w:divBdr>
        <w:top w:val="none" w:sz="0" w:space="0" w:color="auto"/>
        <w:left w:val="none" w:sz="0" w:space="0" w:color="auto"/>
        <w:bottom w:val="none" w:sz="0" w:space="0" w:color="auto"/>
        <w:right w:val="none" w:sz="0" w:space="0" w:color="auto"/>
      </w:divBdr>
    </w:div>
    <w:div w:id="1940329230">
      <w:bodyDiv w:val="1"/>
      <w:marLeft w:val="0"/>
      <w:marRight w:val="0"/>
      <w:marTop w:val="0"/>
      <w:marBottom w:val="0"/>
      <w:divBdr>
        <w:top w:val="none" w:sz="0" w:space="0" w:color="auto"/>
        <w:left w:val="none" w:sz="0" w:space="0" w:color="auto"/>
        <w:bottom w:val="none" w:sz="0" w:space="0" w:color="auto"/>
        <w:right w:val="none" w:sz="0" w:space="0" w:color="auto"/>
      </w:divBdr>
    </w:div>
    <w:div w:id="1970014496">
      <w:bodyDiv w:val="1"/>
      <w:marLeft w:val="0"/>
      <w:marRight w:val="0"/>
      <w:marTop w:val="0"/>
      <w:marBottom w:val="0"/>
      <w:divBdr>
        <w:top w:val="none" w:sz="0" w:space="0" w:color="auto"/>
        <w:left w:val="none" w:sz="0" w:space="0" w:color="auto"/>
        <w:bottom w:val="none" w:sz="0" w:space="0" w:color="auto"/>
        <w:right w:val="none" w:sz="0" w:space="0" w:color="auto"/>
      </w:divBdr>
    </w:div>
    <w:div w:id="200154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D577CB83</Template>
  <TotalTime>190</TotalTime>
  <Pages>16</Pages>
  <Words>6340</Words>
  <Characters>36143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Кузнецов Виталий Викторович</cp:lastModifiedBy>
  <cp:revision>19</cp:revision>
  <dcterms:created xsi:type="dcterms:W3CDTF">2016-10-25T08:40:00Z</dcterms:created>
  <dcterms:modified xsi:type="dcterms:W3CDTF">2016-12-26T06:59:00Z</dcterms:modified>
</cp:coreProperties>
</file>